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A29" w14:textId="65F3F6E8" w:rsidR="00083AEA" w:rsidRDefault="00083AEA" w:rsidP="00083AEA">
      <w:pPr>
        <w:pStyle w:val="Standard"/>
        <w:spacing w:before="144" w:after="144"/>
        <w:jc w:val="both"/>
      </w:pPr>
      <w:r>
        <w:rPr>
          <w:rFonts w:ascii="Times New Roman" w:eastAsia="Times New Roman" w:hAnsi="Times New Roman" w:cs="Times New Roman"/>
          <w:b/>
          <w:bCs/>
          <w:sz w:val="20"/>
          <w:szCs w:val="20"/>
        </w:rPr>
        <w:t>Przedsięwzięcie Deweloperskie p.n</w:t>
      </w:r>
      <w:r w:rsidRPr="00EC3A27">
        <w:rPr>
          <w:rFonts w:ascii="Times New Roman" w:eastAsia="Times New Roman" w:hAnsi="Times New Roman" w:cs="Times New Roman"/>
          <w:b/>
          <w:bCs/>
          <w:sz w:val="20"/>
          <w:szCs w:val="20"/>
        </w:rPr>
        <w:t xml:space="preserve">. </w:t>
      </w:r>
      <w:bookmarkStart w:id="0" w:name="_Hlk169418584"/>
      <w:r w:rsidRPr="00EC3A27">
        <w:rPr>
          <w:rFonts w:ascii="Times New Roman" w:eastAsia="Times New Roman" w:hAnsi="Times New Roman" w:cs="Times New Roman"/>
          <w:b/>
          <w:bCs/>
          <w:sz w:val="20"/>
          <w:szCs w:val="20"/>
        </w:rPr>
        <w:t>„</w:t>
      </w:r>
      <w:bookmarkStart w:id="1" w:name="_Hlk169502909"/>
      <w:r w:rsidR="00033494">
        <w:rPr>
          <w:rFonts w:ascii="Times New Roman" w:eastAsia="Times New Roman" w:hAnsi="Times New Roman" w:cs="Times New Roman"/>
          <w:b/>
          <w:bCs/>
          <w:sz w:val="20"/>
          <w:szCs w:val="20"/>
        </w:rPr>
        <w:t xml:space="preserve">Osiedle </w:t>
      </w:r>
      <w:r w:rsidR="00BC6443">
        <w:rPr>
          <w:rFonts w:ascii="Times New Roman" w:eastAsia="Times New Roman" w:hAnsi="Times New Roman" w:cs="Times New Roman"/>
          <w:b/>
          <w:bCs/>
          <w:sz w:val="20"/>
          <w:szCs w:val="20"/>
        </w:rPr>
        <w:t xml:space="preserve">Leśna Polana – </w:t>
      </w:r>
      <w:bookmarkEnd w:id="1"/>
      <w:r w:rsidR="00084D69">
        <w:rPr>
          <w:rFonts w:ascii="Times New Roman" w:eastAsia="Times New Roman" w:hAnsi="Times New Roman" w:cs="Times New Roman"/>
          <w:b/>
          <w:bCs/>
          <w:sz w:val="20"/>
          <w:szCs w:val="20"/>
        </w:rPr>
        <w:t>V</w:t>
      </w:r>
      <w:r w:rsidRPr="00EC3A27">
        <w:rPr>
          <w:rFonts w:ascii="Times New Roman" w:eastAsia="Times New Roman" w:hAnsi="Times New Roman" w:cs="Times New Roman"/>
          <w:b/>
          <w:bCs/>
          <w:sz w:val="20"/>
          <w:szCs w:val="20"/>
        </w:rPr>
        <w:t>”</w:t>
      </w:r>
      <w:bookmarkEnd w:id="0"/>
    </w:p>
    <w:p w14:paraId="51C938F1"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2F9A4B6C"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Stan na dzień sporządzenia prospektu informacyjnego</w:t>
      </w:r>
    </w:p>
    <w:p w14:paraId="4D4C27DB"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7DA1CA2E"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42D64DCF"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Data</w:t>
      </w:r>
    </w:p>
    <w:p w14:paraId="3273C4DC"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sporządzenia</w:t>
      </w:r>
    </w:p>
    <w:p w14:paraId="1E53EA6A" w14:textId="77777777" w:rsidR="00083AEA" w:rsidRDefault="00083AEA" w:rsidP="00083AEA">
      <w:pPr>
        <w:pStyle w:val="Standard"/>
        <w:widowControl w:val="0"/>
        <w:spacing w:after="0" w:line="360" w:lineRule="auto"/>
        <w:ind w:left="6379"/>
        <w:rPr>
          <w:rFonts w:ascii="Times New Roman" w:eastAsia="Times New Roman" w:hAnsi="Times New Roman" w:cs="Times New Roman"/>
          <w:sz w:val="20"/>
          <w:szCs w:val="20"/>
        </w:rPr>
      </w:pPr>
      <w:r>
        <w:rPr>
          <w:rFonts w:ascii="Times New Roman" w:eastAsia="Times New Roman" w:hAnsi="Times New Roman" w:cs="Times New Roman"/>
          <w:sz w:val="20"/>
          <w:szCs w:val="20"/>
        </w:rPr>
        <w:t>prospektu</w:t>
      </w:r>
    </w:p>
    <w:p w14:paraId="1454AAB8"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0F260FE4" w14:textId="77777777" w:rsidR="00083AEA" w:rsidRDefault="00083AEA" w:rsidP="00083AEA">
      <w:pPr>
        <w:pStyle w:val="Standard"/>
        <w:widowControl w:val="0"/>
        <w:spacing w:after="0" w:line="360" w:lineRule="auto"/>
        <w:rPr>
          <w:rFonts w:ascii="Times New Roman" w:eastAsia="Times New Roman" w:hAnsi="Times New Roman" w:cs="Times New Roman"/>
          <w:sz w:val="20"/>
          <w:szCs w:val="20"/>
          <w:lang w:eastAsia="pl-PL"/>
        </w:rPr>
      </w:pPr>
    </w:p>
    <w:p w14:paraId="423C5666"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Sygnatura prospektu informacyjnego</w:t>
      </w:r>
    </w:p>
    <w:p w14:paraId="1FCB6637"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591D19AE" w14:textId="77777777" w:rsidR="00083AEA" w:rsidRDefault="00083AEA" w:rsidP="00083AEA">
      <w:pPr>
        <w:pStyle w:val="Standard"/>
        <w:widowControl w:val="0"/>
        <w:spacing w:after="0" w:line="360" w:lineRule="auto"/>
      </w:pPr>
    </w:p>
    <w:p w14:paraId="4C6F0FE9"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5BC24678" w14:textId="77777777" w:rsidR="00083AEA" w:rsidRDefault="00083AEA" w:rsidP="00083AEA">
      <w:pPr>
        <w:pStyle w:val="Standard"/>
        <w:spacing w:before="144" w:after="144"/>
        <w:jc w:val="center"/>
        <w:outlineLvl w:val="0"/>
      </w:pPr>
      <w:r>
        <w:rPr>
          <w:rFonts w:ascii="Times New Roman" w:hAnsi="Times New Roman" w:cs="Times New Roman"/>
          <w:b/>
          <w:sz w:val="20"/>
          <w:szCs w:val="20"/>
        </w:rPr>
        <w:t>PROSPEKT INFORMACYJNY</w:t>
      </w:r>
    </w:p>
    <w:p w14:paraId="471647DA"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3CCF635E" w14:textId="77777777" w:rsidR="00083AEA" w:rsidRDefault="00083AEA" w:rsidP="00083AEA">
      <w:pPr>
        <w:pStyle w:val="Standard"/>
        <w:spacing w:before="144" w:after="144"/>
        <w:outlineLvl w:val="0"/>
      </w:pPr>
      <w:r>
        <w:rPr>
          <w:rFonts w:ascii="Times New Roman" w:hAnsi="Times New Roman" w:cs="Times New Roman"/>
          <w:b/>
          <w:sz w:val="20"/>
          <w:szCs w:val="20"/>
        </w:rPr>
        <w:t>CZĘŚĆ OGÓLNA</w:t>
      </w:r>
    </w:p>
    <w:p w14:paraId="7B23D992" w14:textId="77777777" w:rsidR="00083AEA" w:rsidRDefault="00083AEA" w:rsidP="00083AEA">
      <w:pPr>
        <w:pStyle w:val="Standard"/>
        <w:spacing w:after="0"/>
        <w:outlineLvl w:val="0"/>
        <w:rPr>
          <w:rFonts w:ascii="Times New Roman" w:hAnsi="Times New Roman" w:cs="Times New Roman"/>
          <w:b/>
          <w:sz w:val="20"/>
          <w:szCs w:val="20"/>
        </w:rPr>
      </w:pPr>
    </w:p>
    <w:p w14:paraId="295EC0BC" w14:textId="33D50F2A" w:rsidR="00083AEA" w:rsidRDefault="00083AEA" w:rsidP="00083AEA">
      <w:pPr>
        <w:pStyle w:val="Standard"/>
        <w:widowControl w:val="0"/>
        <w:spacing w:after="280"/>
      </w:pPr>
      <w:r>
        <w:rPr>
          <w:rFonts w:ascii="Times New Roman" w:eastAsia="Times New Roman" w:hAnsi="Times New Roman" w:cs="Times New Roman"/>
          <w:b/>
          <w:bCs/>
          <w:sz w:val="20"/>
          <w:szCs w:val="20"/>
        </w:rPr>
        <w:t>I. DANE IDENTYFIKACYJNE I KONTAKTOWE DOTYCZĄCE DEWELOPERA</w:t>
      </w:r>
    </w:p>
    <w:tbl>
      <w:tblPr>
        <w:tblW w:w="9648" w:type="dxa"/>
        <w:tblLayout w:type="fixed"/>
        <w:tblCellMar>
          <w:left w:w="10" w:type="dxa"/>
          <w:right w:w="10" w:type="dxa"/>
        </w:tblCellMar>
        <w:tblLook w:val="04A0" w:firstRow="1" w:lastRow="0" w:firstColumn="1" w:lastColumn="0" w:noHBand="0" w:noVBand="1"/>
      </w:tblPr>
      <w:tblGrid>
        <w:gridCol w:w="2987"/>
        <w:gridCol w:w="3240"/>
        <w:gridCol w:w="3421"/>
      </w:tblGrid>
      <w:tr w:rsidR="00083AEA" w14:paraId="7C838116" w14:textId="77777777" w:rsidTr="00A1703E">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314A82A" w14:textId="77777777" w:rsidR="00083AEA" w:rsidRDefault="00083AEA" w:rsidP="00A1703E">
            <w:pPr>
              <w:pStyle w:val="Standard"/>
              <w:widowControl w:val="0"/>
              <w:spacing w:before="144" w:after="14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DEWELOPERA</w:t>
            </w:r>
          </w:p>
          <w:p w14:paraId="3A84321E" w14:textId="77777777" w:rsidR="00083AEA" w:rsidRDefault="00083AEA" w:rsidP="00A1703E">
            <w:pPr>
              <w:pStyle w:val="Standard"/>
              <w:widowControl w:val="0"/>
              <w:spacing w:before="144" w:after="144"/>
              <w:rPr>
                <w:rFonts w:ascii="Times New Roman" w:eastAsia="Times New Roman" w:hAnsi="Times New Roman" w:cs="Times New Roman"/>
                <w:b/>
                <w:bCs/>
                <w:sz w:val="20"/>
                <w:szCs w:val="20"/>
              </w:rPr>
            </w:pPr>
          </w:p>
        </w:tc>
      </w:tr>
      <w:tr w:rsidR="00083AEA" w14:paraId="0D999409" w14:textId="77777777" w:rsidTr="00A1703E">
        <w:trPr>
          <w:trHeight w:val="375"/>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BFC212D"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E0B30" w14:textId="77777777" w:rsidR="00BC6443" w:rsidRPr="00BC6443" w:rsidRDefault="00BC6443" w:rsidP="00BC6443">
            <w:pPr>
              <w:pStyle w:val="Standard"/>
              <w:widowControl w:val="0"/>
              <w:spacing w:before="240"/>
              <w:rPr>
                <w:rFonts w:ascii="Times New Roman" w:eastAsia="Times New Roman" w:hAnsi="Times New Roman" w:cs="Times New Roman"/>
                <w:b/>
                <w:bCs/>
                <w:sz w:val="20"/>
                <w:szCs w:val="20"/>
              </w:rPr>
            </w:pPr>
            <w:r w:rsidRPr="00BC6443">
              <w:rPr>
                <w:rFonts w:ascii="Times New Roman" w:eastAsia="Times New Roman" w:hAnsi="Times New Roman" w:cs="Times New Roman"/>
                <w:b/>
                <w:bCs/>
                <w:sz w:val="20"/>
                <w:szCs w:val="20"/>
              </w:rPr>
              <w:t>ASUA GRUPA DEWELOPERSKA Spółka z ograniczoną odpowiedzialnością</w:t>
            </w:r>
          </w:p>
          <w:p w14:paraId="3820795D" w14:textId="77777777" w:rsidR="00BC6443" w:rsidRPr="00BC6443" w:rsidRDefault="00BC6443" w:rsidP="00BC6443">
            <w:pPr>
              <w:pStyle w:val="Standard"/>
              <w:widowControl w:val="0"/>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KRS 0000765292</w:t>
            </w:r>
          </w:p>
          <w:p w14:paraId="581A8CD4" w14:textId="5B892A16" w:rsidR="00083AEA" w:rsidRPr="00981DF3" w:rsidRDefault="00083AEA" w:rsidP="00BC6443">
            <w:pPr>
              <w:pStyle w:val="Standard"/>
              <w:widowControl w:val="0"/>
              <w:rPr>
                <w:rFonts w:ascii="Times New Roman" w:eastAsia="Times New Roman" w:hAnsi="Times New Roman" w:cs="Times New Roman"/>
                <w:b/>
                <w:bCs/>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Dane identyfikacyjne (firma, forma prawna, numer Krajowego Rejestru Sądowego lub numer wpisu do Centralnej Ewidencji i Działalności Gospodarczej)</w:t>
            </w:r>
          </w:p>
        </w:tc>
      </w:tr>
      <w:tr w:rsidR="00083AEA" w14:paraId="4CBD5650" w14:textId="77777777" w:rsidTr="00A1703E">
        <w:trPr>
          <w:trHeight w:val="1327"/>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7D0C9C7"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65028" w14:textId="77777777" w:rsidR="00BC6443" w:rsidRPr="00BC6443" w:rsidRDefault="00BC6443" w:rsidP="00BC6443">
            <w:pPr>
              <w:pStyle w:val="Standard"/>
              <w:widowControl w:val="0"/>
              <w:spacing w:before="144" w:after="144"/>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96-300 Żyrardów</w:t>
            </w:r>
          </w:p>
          <w:p w14:paraId="6A02123C" w14:textId="77777777" w:rsidR="00BC6443" w:rsidRDefault="00BC6443" w:rsidP="00BC6443">
            <w:pPr>
              <w:pStyle w:val="Standard"/>
              <w:widowControl w:val="0"/>
              <w:spacing w:before="144" w:after="144"/>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ul. 1 Maja 14</w:t>
            </w:r>
          </w:p>
          <w:p w14:paraId="7F0A6478" w14:textId="4A2E3708" w:rsidR="00083AEA" w:rsidRDefault="00083AEA" w:rsidP="00BC6443">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Adres miejsca wykonywania działalności gospodarczej, adres siedziby i adres punktów, w których jest przedstawiana oferta lokali mieszkalnych albo domów jednorodzinnych</w:t>
            </w:r>
          </w:p>
        </w:tc>
      </w:tr>
      <w:tr w:rsidR="00083AEA" w14:paraId="64FB666B" w14:textId="77777777" w:rsidTr="00A1703E">
        <w:trPr>
          <w:trHeight w:val="18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6A52BAF"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NIP REGON</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6AE4C" w14:textId="77777777" w:rsidR="00BC6443" w:rsidRDefault="00BC6443" w:rsidP="00A1703E">
            <w:pPr>
              <w:pStyle w:val="Standard"/>
              <w:widowControl w:val="0"/>
              <w:spacing w:before="144" w:after="144"/>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8381868230</w:t>
            </w:r>
          </w:p>
          <w:p w14:paraId="0CD74003" w14:textId="0CFA5E0C" w:rsidR="00083AEA" w:rsidRPr="00EC3A27" w:rsidRDefault="00083AEA" w:rsidP="00A1703E">
            <w:pPr>
              <w:pStyle w:val="Standard"/>
              <w:widowControl w:val="0"/>
              <w:spacing w:before="144" w:after="144"/>
              <w:rPr>
                <w:rFonts w:ascii="Times New Roman" w:eastAsia="Times New Roman" w:hAnsi="Times New Roman" w:cs="Times New Roman"/>
                <w:sz w:val="20"/>
                <w:szCs w:val="20"/>
                <w:u w:val="single"/>
              </w:rPr>
            </w:pPr>
            <w:r w:rsidRPr="00EC3A27">
              <w:rPr>
                <w:rFonts w:ascii="Times New Roman" w:eastAsia="Times New Roman" w:hAnsi="Times New Roman" w:cs="Times New Roman"/>
                <w:sz w:val="20"/>
                <w:szCs w:val="20"/>
                <w:u w:val="single"/>
              </w:rPr>
              <w:t>NIP, o ile został nadany</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9F60" w14:textId="77777777" w:rsidR="00BC6443" w:rsidRDefault="00BC6443" w:rsidP="00A1703E">
            <w:pPr>
              <w:pStyle w:val="Standard"/>
              <w:widowControl w:val="0"/>
              <w:spacing w:before="144" w:after="144"/>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382204420</w:t>
            </w:r>
          </w:p>
          <w:p w14:paraId="1FE31077" w14:textId="3AA6D95D" w:rsidR="00083AEA" w:rsidRDefault="00083AEA" w:rsidP="00A1703E">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REGON, o ile taki posiada</w:t>
            </w:r>
          </w:p>
        </w:tc>
      </w:tr>
      <w:tr w:rsidR="00083AEA" w14:paraId="211FB43E" w14:textId="77777777" w:rsidTr="00A1703E">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B94F1C3"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85FB" w14:textId="230B5C0C" w:rsidR="005D6FF0" w:rsidRPr="00EC3A27" w:rsidRDefault="00BC6443" w:rsidP="0052725D">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662-402-202</w:t>
            </w:r>
          </w:p>
        </w:tc>
      </w:tr>
      <w:tr w:rsidR="00083AEA" w14:paraId="0E501E31" w14:textId="77777777" w:rsidTr="00A1703E">
        <w:trPr>
          <w:trHeight w:val="272"/>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85281FE"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D472" w14:textId="7AC9D69A" w:rsidR="00083AEA" w:rsidRPr="0052464D" w:rsidRDefault="00BC6443" w:rsidP="0052725D">
            <w:pPr>
              <w:pStyle w:val="Standard"/>
              <w:widowControl w:val="0"/>
              <w:spacing w:before="144" w:after="144"/>
              <w:rPr>
                <w:rFonts w:ascii="Times New Roman" w:eastAsia="Times New Roman" w:hAnsi="Times New Roman" w:cs="Times New Roman"/>
                <w:sz w:val="20"/>
                <w:szCs w:val="20"/>
              </w:rPr>
            </w:pPr>
            <w:r w:rsidRPr="00BC6443">
              <w:rPr>
                <w:rFonts w:ascii="Times New Roman" w:eastAsia="Times New Roman" w:hAnsi="Times New Roman" w:cs="Times New Roman"/>
                <w:sz w:val="20"/>
                <w:szCs w:val="20"/>
              </w:rPr>
              <w:t>biuro@asua.com.pl</w:t>
            </w:r>
          </w:p>
        </w:tc>
      </w:tr>
      <w:tr w:rsidR="00083AEA" w14:paraId="002A480F" w14:textId="77777777" w:rsidTr="00A1703E">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A2EC2F"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B8B43" w14:textId="2F85A15F" w:rsidR="00083AEA" w:rsidRPr="0052464D" w:rsidRDefault="0093042B" w:rsidP="0052464D">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083AEA" w14:paraId="317DC08F" w14:textId="77777777" w:rsidTr="00A1703E">
        <w:trPr>
          <w:trHeight w:val="21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1B1C32"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A593" w14:textId="403B825E" w:rsidR="00083AEA" w:rsidRPr="00EC3A27" w:rsidRDefault="00BC6443" w:rsidP="00A1703E">
            <w:pPr>
              <w:pStyle w:val="Standard"/>
              <w:widowControl w:val="0"/>
              <w:spacing w:before="144" w:after="144"/>
            </w:pPr>
            <w:r w:rsidRPr="00BC6443">
              <w:rPr>
                <w:rFonts w:ascii="Times New Roman" w:eastAsia="Times New Roman" w:hAnsi="Times New Roman" w:cs="Times New Roman"/>
                <w:sz w:val="20"/>
                <w:szCs w:val="20"/>
              </w:rPr>
              <w:t>www.asua.com.pl</w:t>
            </w:r>
          </w:p>
        </w:tc>
      </w:tr>
    </w:tbl>
    <w:p w14:paraId="405104B7" w14:textId="7E184EF9" w:rsidR="00083AEA" w:rsidRDefault="00083AEA" w:rsidP="00083AEA">
      <w:pPr>
        <w:pStyle w:val="Standard"/>
        <w:widowControl w:val="0"/>
        <w:spacing w:before="240" w:after="280"/>
      </w:pPr>
      <w:r>
        <w:rPr>
          <w:rFonts w:ascii="Times New Roman" w:eastAsia="Times New Roman" w:hAnsi="Times New Roman" w:cs="Times New Roman"/>
          <w:b/>
          <w:sz w:val="20"/>
          <w:szCs w:val="20"/>
        </w:rPr>
        <w:t>II. DOŚWIADCZENIE DEWELOPERA</w:t>
      </w:r>
    </w:p>
    <w:tbl>
      <w:tblPr>
        <w:tblW w:w="9648" w:type="dxa"/>
        <w:tblLayout w:type="fixed"/>
        <w:tblCellMar>
          <w:left w:w="10" w:type="dxa"/>
          <w:right w:w="10" w:type="dxa"/>
        </w:tblCellMar>
        <w:tblLook w:val="04A0" w:firstRow="1" w:lastRow="0" w:firstColumn="1" w:lastColumn="0" w:noHBand="0" w:noVBand="1"/>
      </w:tblPr>
      <w:tblGrid>
        <w:gridCol w:w="9648"/>
      </w:tblGrid>
      <w:tr w:rsidR="0068141D" w14:paraId="6AA4835B" w14:textId="77777777" w:rsidTr="006B5640">
        <w:trPr>
          <w:trHeight w:val="704"/>
        </w:trPr>
        <w:tc>
          <w:tcPr>
            <w:tcW w:w="964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46C29B" w14:textId="77777777" w:rsidR="0068141D" w:rsidRDefault="0068141D" w:rsidP="006B564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HISTORIA I UDOKUMENTOWANE DOŚWIADCZENIE DEWELOPERA</w:t>
            </w:r>
          </w:p>
        </w:tc>
      </w:tr>
    </w:tbl>
    <w:p w14:paraId="44502C19" w14:textId="77777777" w:rsidR="0068141D" w:rsidRDefault="0068141D" w:rsidP="0068141D">
      <w:pPr>
        <w:rPr>
          <w:vanish/>
        </w:rPr>
      </w:pPr>
    </w:p>
    <w:tbl>
      <w:tblPr>
        <w:tblW w:w="9648" w:type="dxa"/>
        <w:tblInd w:w="5" w:type="dxa"/>
        <w:tblLayout w:type="fixed"/>
        <w:tblCellMar>
          <w:left w:w="10" w:type="dxa"/>
          <w:right w:w="10" w:type="dxa"/>
        </w:tblCellMar>
        <w:tblLook w:val="04A0" w:firstRow="1" w:lastRow="0" w:firstColumn="1" w:lastColumn="0" w:noHBand="0" w:noVBand="1"/>
      </w:tblPr>
      <w:tblGrid>
        <w:gridCol w:w="2813"/>
        <w:gridCol w:w="6835"/>
      </w:tblGrid>
      <w:tr w:rsidR="0068141D" w14:paraId="10D69526" w14:textId="77777777" w:rsidTr="006B564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2B8A674" w14:textId="77777777" w:rsidR="0068141D" w:rsidRDefault="0068141D" w:rsidP="006B564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68141D" w14:paraId="2F75B3B7" w14:textId="77777777" w:rsidTr="006B564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3248097"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D3A7" w14:textId="77777777" w:rsidR="0068141D" w:rsidRPr="004E2327" w:rsidRDefault="0068141D" w:rsidP="006B5640">
            <w:pPr>
              <w:pStyle w:val="Standard"/>
              <w:widowControl w:val="0"/>
              <w:spacing w:before="144" w:after="144"/>
            </w:pPr>
            <w:r w:rsidRPr="004E2327">
              <w:rPr>
                <w:rFonts w:ascii="Times New Roman" w:eastAsia="Times New Roman" w:hAnsi="Times New Roman" w:cs="Times New Roman"/>
                <w:sz w:val="20"/>
                <w:szCs w:val="20"/>
              </w:rPr>
              <w:t>96-300 Żyrardów ul. Stefana Okrzei 54b</w:t>
            </w:r>
          </w:p>
        </w:tc>
      </w:tr>
      <w:tr w:rsidR="0068141D" w14:paraId="65A3B2A9"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17C4BAC"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D74F" w14:textId="77777777" w:rsidR="0068141D" w:rsidRPr="004E2327" w:rsidRDefault="0068141D" w:rsidP="006B5640">
            <w:pPr>
              <w:pStyle w:val="Standard"/>
              <w:widowControl w:val="0"/>
              <w:spacing w:before="144" w:after="144"/>
            </w:pPr>
            <w:r w:rsidRPr="004E2327">
              <w:rPr>
                <w:rFonts w:ascii="Times New Roman" w:eastAsia="Times New Roman" w:hAnsi="Times New Roman" w:cs="Times New Roman"/>
                <w:sz w:val="20"/>
                <w:szCs w:val="20"/>
              </w:rPr>
              <w:t>24.08.2021 r.</w:t>
            </w:r>
          </w:p>
        </w:tc>
      </w:tr>
      <w:tr w:rsidR="0068141D" w14:paraId="3D2A01FA"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409E9BD"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8EA87" w14:textId="77777777" w:rsidR="0068141D" w:rsidRPr="004E2327" w:rsidRDefault="0068141D" w:rsidP="006B5640">
            <w:pPr>
              <w:pStyle w:val="Standard"/>
              <w:widowControl w:val="0"/>
              <w:spacing w:before="144" w:after="144"/>
            </w:pPr>
            <w:r w:rsidRPr="004E2327">
              <w:rPr>
                <w:rFonts w:ascii="Times New Roman" w:eastAsia="Times New Roman" w:hAnsi="Times New Roman" w:cs="Times New Roman"/>
                <w:sz w:val="20"/>
                <w:szCs w:val="20"/>
              </w:rPr>
              <w:t>30.10.2023 r. (Decyzja stała się prawomocna 03.11.2023 r.)</w:t>
            </w:r>
          </w:p>
        </w:tc>
      </w:tr>
      <w:tr w:rsidR="0068141D" w14:paraId="45FAD571" w14:textId="77777777" w:rsidTr="006B564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F9AB1DC" w14:textId="77777777" w:rsidR="0068141D" w:rsidRPr="004E2327" w:rsidRDefault="0068141D" w:rsidP="006B5640">
            <w:pPr>
              <w:pStyle w:val="Standard"/>
              <w:widowControl w:val="0"/>
              <w:spacing w:before="144" w:after="144"/>
              <w:rPr>
                <w:rFonts w:ascii="Times New Roman" w:eastAsia="Times New Roman" w:hAnsi="Times New Roman" w:cs="Times New Roman"/>
                <w:b/>
                <w:sz w:val="20"/>
                <w:szCs w:val="20"/>
              </w:rPr>
            </w:pPr>
            <w:r w:rsidRPr="004E2327">
              <w:rPr>
                <w:rFonts w:ascii="Times New Roman" w:eastAsia="Times New Roman" w:hAnsi="Times New Roman" w:cs="Times New Roman"/>
                <w:b/>
                <w:sz w:val="20"/>
                <w:szCs w:val="20"/>
              </w:rPr>
              <w:t>PRZYKŁAD INNEGO UKOŃCZONEGO PRZEDSIĘWZIĘCIA DEWELOPERSKIEGO</w:t>
            </w:r>
          </w:p>
          <w:p w14:paraId="3CA5F6D3" w14:textId="77777777" w:rsidR="0068141D" w:rsidRPr="004E2327" w:rsidRDefault="0068141D" w:rsidP="006B5640">
            <w:pPr>
              <w:pStyle w:val="Standard"/>
              <w:widowControl w:val="0"/>
              <w:spacing w:before="144" w:after="144"/>
              <w:rPr>
                <w:rFonts w:ascii="Times New Roman" w:eastAsia="Times New Roman" w:hAnsi="Times New Roman" w:cs="Times New Roman"/>
                <w:b/>
                <w:sz w:val="20"/>
                <w:szCs w:val="20"/>
              </w:rPr>
            </w:pPr>
          </w:p>
        </w:tc>
      </w:tr>
      <w:tr w:rsidR="0068141D" w14:paraId="2F537939" w14:textId="77777777" w:rsidTr="006B564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2DB3342"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A3155" w14:textId="77777777" w:rsidR="0068141D" w:rsidRPr="004E2327" w:rsidRDefault="0068141D" w:rsidP="006B5640">
            <w:pPr>
              <w:pStyle w:val="Standard"/>
              <w:widowControl w:val="0"/>
              <w:spacing w:before="144" w:after="144"/>
            </w:pPr>
            <w:r w:rsidRPr="004E2327">
              <w:rPr>
                <w:rFonts w:ascii="Times New Roman" w:eastAsia="Times New Roman" w:hAnsi="Times New Roman" w:cs="Times New Roman"/>
                <w:sz w:val="20"/>
                <w:szCs w:val="20"/>
              </w:rPr>
              <w:t>96-300 Żyrardów ul. Stefana Okrzei 54c</w:t>
            </w:r>
          </w:p>
        </w:tc>
      </w:tr>
      <w:tr w:rsidR="0068141D" w14:paraId="4878AC2B"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05E568D"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B26B5" w14:textId="77777777" w:rsidR="0068141D" w:rsidRPr="004E2327" w:rsidRDefault="0068141D" w:rsidP="006B5640">
            <w:pPr>
              <w:pStyle w:val="Standard"/>
              <w:widowControl w:val="0"/>
              <w:spacing w:before="144" w:after="144"/>
              <w:rPr>
                <w:rFonts w:ascii="Times New Roman" w:hAnsi="Times New Roman" w:cs="Times New Roman"/>
                <w:sz w:val="20"/>
                <w:szCs w:val="20"/>
              </w:rPr>
            </w:pPr>
            <w:r w:rsidRPr="004E2327">
              <w:rPr>
                <w:rFonts w:ascii="Times New Roman" w:hAnsi="Times New Roman"/>
                <w:sz w:val="20"/>
                <w:szCs w:val="20"/>
              </w:rPr>
              <w:t>30.03.2023 r.</w:t>
            </w:r>
          </w:p>
        </w:tc>
      </w:tr>
      <w:tr w:rsidR="0068141D" w14:paraId="07A5375C"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871D339"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1173D" w14:textId="77777777" w:rsidR="0068141D" w:rsidRPr="004E2327" w:rsidRDefault="0068141D" w:rsidP="006B5640">
            <w:pPr>
              <w:pStyle w:val="Standard"/>
              <w:widowControl w:val="0"/>
              <w:spacing w:before="144" w:after="144"/>
            </w:pPr>
            <w:r w:rsidRPr="004E2327">
              <w:rPr>
                <w:rFonts w:ascii="Times New Roman" w:hAnsi="Times New Roman"/>
                <w:sz w:val="20"/>
                <w:szCs w:val="20"/>
              </w:rPr>
              <w:t xml:space="preserve">01.09.2025 r. </w:t>
            </w:r>
            <w:r w:rsidRPr="004E2327">
              <w:rPr>
                <w:rFonts w:ascii="Times New Roman" w:eastAsia="Times New Roman" w:hAnsi="Times New Roman" w:cs="Times New Roman"/>
                <w:sz w:val="20"/>
                <w:szCs w:val="20"/>
              </w:rPr>
              <w:t xml:space="preserve">(Decyzja stała się prawomocna </w:t>
            </w:r>
            <w:r w:rsidRPr="004E2327">
              <w:rPr>
                <w:rFonts w:ascii="Times New Roman" w:hAnsi="Times New Roman"/>
                <w:sz w:val="20"/>
                <w:szCs w:val="20"/>
              </w:rPr>
              <w:t>01.09.2025 r.</w:t>
            </w:r>
            <w:r w:rsidRPr="004E2327">
              <w:rPr>
                <w:rFonts w:ascii="Times New Roman" w:eastAsia="Times New Roman" w:hAnsi="Times New Roman" w:cs="Times New Roman"/>
                <w:sz w:val="20"/>
                <w:szCs w:val="20"/>
              </w:rPr>
              <w:t>)</w:t>
            </w:r>
          </w:p>
        </w:tc>
      </w:tr>
      <w:tr w:rsidR="0068141D" w14:paraId="3C174D8F" w14:textId="77777777" w:rsidTr="006B564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84980BD" w14:textId="77777777" w:rsidR="0068141D" w:rsidRPr="004E2327" w:rsidRDefault="0068141D" w:rsidP="006B5640">
            <w:pPr>
              <w:pStyle w:val="Standard"/>
              <w:widowControl w:val="0"/>
              <w:spacing w:before="240" w:after="280"/>
              <w:rPr>
                <w:rFonts w:ascii="Times New Roman" w:eastAsia="Times New Roman" w:hAnsi="Times New Roman" w:cs="Times New Roman"/>
                <w:b/>
                <w:sz w:val="20"/>
                <w:szCs w:val="20"/>
              </w:rPr>
            </w:pPr>
            <w:r w:rsidRPr="004E2327">
              <w:rPr>
                <w:rFonts w:ascii="Times New Roman" w:eastAsia="Times New Roman" w:hAnsi="Times New Roman" w:cs="Times New Roman"/>
                <w:b/>
                <w:sz w:val="20"/>
                <w:szCs w:val="20"/>
              </w:rPr>
              <w:t>PRZYKŁAD OSTATNIEGO UKOŃCZONEGO PRZEDSIĘWZIĘCIA DEWELOPERSKIEGO</w:t>
            </w:r>
          </w:p>
          <w:p w14:paraId="66DCB4F7" w14:textId="77777777" w:rsidR="0068141D" w:rsidRPr="004E2327" w:rsidRDefault="0068141D" w:rsidP="006B5640">
            <w:pPr>
              <w:pStyle w:val="Standard"/>
              <w:widowControl w:val="0"/>
              <w:spacing w:before="280" w:after="0"/>
              <w:rPr>
                <w:rFonts w:ascii="Times New Roman" w:eastAsia="Times New Roman" w:hAnsi="Times New Roman" w:cs="Times New Roman"/>
                <w:b/>
                <w:sz w:val="20"/>
                <w:szCs w:val="20"/>
              </w:rPr>
            </w:pPr>
          </w:p>
        </w:tc>
      </w:tr>
      <w:tr w:rsidR="0068141D" w14:paraId="20E3B3E6" w14:textId="77777777" w:rsidTr="006B564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5073B04" w14:textId="77777777" w:rsidR="0068141D" w:rsidRPr="002250A5" w:rsidRDefault="0068141D" w:rsidP="006B5640">
            <w:pPr>
              <w:pStyle w:val="Standard"/>
              <w:widowControl w:val="0"/>
              <w:spacing w:before="144" w:after="144"/>
              <w:rPr>
                <w:rFonts w:ascii="Times New Roman" w:eastAsia="Times New Roman" w:hAnsi="Times New Roman" w:cs="Times New Roman"/>
                <w:sz w:val="20"/>
                <w:szCs w:val="20"/>
              </w:rPr>
            </w:pPr>
            <w:r w:rsidRPr="002250A5">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00103" w14:textId="4007ADDF" w:rsidR="0068141D" w:rsidRPr="002250A5" w:rsidRDefault="004E2327" w:rsidP="006B5640">
            <w:pPr>
              <w:pStyle w:val="Standard"/>
              <w:widowControl w:val="0"/>
              <w:spacing w:before="144" w:after="144"/>
            </w:pPr>
            <w:r w:rsidRPr="002250A5">
              <w:rPr>
                <w:rFonts w:ascii="Times New Roman" w:hAnsi="Times New Roman"/>
                <w:sz w:val="20"/>
                <w:szCs w:val="20"/>
              </w:rPr>
              <w:t>05-825 Grodzisk Mazowiecki ul. Przyjazna 31, 33</w:t>
            </w:r>
          </w:p>
        </w:tc>
      </w:tr>
      <w:tr w:rsidR="0068141D" w14:paraId="45312837"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A792FEE"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B232" w14:textId="5199DAA4" w:rsidR="0068141D" w:rsidRPr="002250A5" w:rsidRDefault="002250A5" w:rsidP="006B5640">
            <w:pPr>
              <w:pStyle w:val="Standard"/>
              <w:widowControl w:val="0"/>
              <w:spacing w:before="144" w:after="144"/>
            </w:pPr>
            <w:r w:rsidRPr="002250A5">
              <w:rPr>
                <w:rFonts w:ascii="Times New Roman" w:hAnsi="Times New Roman"/>
                <w:sz w:val="20"/>
                <w:szCs w:val="20"/>
              </w:rPr>
              <w:t>17.04</w:t>
            </w:r>
            <w:r w:rsidR="0068141D" w:rsidRPr="002250A5">
              <w:rPr>
                <w:rFonts w:ascii="Times New Roman" w:hAnsi="Times New Roman"/>
                <w:sz w:val="20"/>
                <w:szCs w:val="20"/>
              </w:rPr>
              <w:t>.2024 r.</w:t>
            </w:r>
          </w:p>
        </w:tc>
      </w:tr>
      <w:tr w:rsidR="0068141D" w14:paraId="2CD43EEC" w14:textId="77777777" w:rsidTr="006B564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9E0B028" w14:textId="77777777" w:rsidR="0068141D" w:rsidRDefault="0068141D" w:rsidP="006B564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B0C5" w14:textId="17550A53" w:rsidR="0068141D" w:rsidRPr="002250A5" w:rsidRDefault="0068141D" w:rsidP="006B5640">
            <w:pPr>
              <w:pStyle w:val="Standard"/>
              <w:widowControl w:val="0"/>
              <w:spacing w:before="144" w:after="144"/>
            </w:pPr>
            <w:r w:rsidRPr="002250A5">
              <w:rPr>
                <w:rFonts w:ascii="Times New Roman" w:hAnsi="Times New Roman"/>
                <w:sz w:val="20"/>
                <w:szCs w:val="20"/>
              </w:rPr>
              <w:t>0</w:t>
            </w:r>
            <w:r w:rsidR="002250A5" w:rsidRPr="002250A5">
              <w:rPr>
                <w:rFonts w:ascii="Times New Roman" w:hAnsi="Times New Roman"/>
                <w:sz w:val="20"/>
                <w:szCs w:val="20"/>
              </w:rPr>
              <w:t>8</w:t>
            </w:r>
            <w:r w:rsidRPr="002250A5">
              <w:rPr>
                <w:rFonts w:ascii="Times New Roman" w:hAnsi="Times New Roman"/>
                <w:sz w:val="20"/>
                <w:szCs w:val="20"/>
              </w:rPr>
              <w:t>.0</w:t>
            </w:r>
            <w:r w:rsidR="002250A5" w:rsidRPr="002250A5">
              <w:rPr>
                <w:rFonts w:ascii="Times New Roman" w:hAnsi="Times New Roman"/>
                <w:sz w:val="20"/>
                <w:szCs w:val="20"/>
              </w:rPr>
              <w:t>4</w:t>
            </w:r>
            <w:r w:rsidRPr="002250A5">
              <w:rPr>
                <w:rFonts w:ascii="Times New Roman" w:hAnsi="Times New Roman"/>
                <w:sz w:val="20"/>
                <w:szCs w:val="20"/>
              </w:rPr>
              <w:t>.2026 r.</w:t>
            </w:r>
            <w:r w:rsidR="002250A5" w:rsidRPr="002250A5">
              <w:rPr>
                <w:rFonts w:ascii="Times New Roman" w:hAnsi="Times New Roman"/>
                <w:sz w:val="20"/>
                <w:szCs w:val="20"/>
              </w:rPr>
              <w:t xml:space="preserve"> (Informacja PINB, że w ustawowym terminie sprzeciwu nie wniesiono art. 54 Prawa Budowlanego).</w:t>
            </w:r>
          </w:p>
        </w:tc>
      </w:tr>
    </w:tbl>
    <w:p w14:paraId="75A2B8F0" w14:textId="77777777" w:rsidR="00083AEA" w:rsidRDefault="00083AEA" w:rsidP="00083AEA">
      <w:pPr>
        <w:pStyle w:val="Standard"/>
        <w:spacing w:before="144" w:after="144"/>
        <w:rPr>
          <w:rFonts w:ascii="Times New Roman" w:eastAsia="Times New Roman" w:hAnsi="Times New Roman" w:cs="Times New Roman"/>
          <w:b/>
          <w:bCs/>
          <w:sz w:val="16"/>
          <w:szCs w:val="20"/>
        </w:rPr>
      </w:pPr>
    </w:p>
    <w:tbl>
      <w:tblPr>
        <w:tblW w:w="9648" w:type="dxa"/>
        <w:tblInd w:w="5" w:type="dxa"/>
        <w:tblLayout w:type="fixed"/>
        <w:tblCellMar>
          <w:left w:w="10" w:type="dxa"/>
          <w:right w:w="10" w:type="dxa"/>
        </w:tblCellMar>
        <w:tblLook w:val="04A0" w:firstRow="1" w:lastRow="0" w:firstColumn="1" w:lastColumn="0" w:noHBand="0" w:noVBand="1"/>
      </w:tblPr>
      <w:tblGrid>
        <w:gridCol w:w="2807"/>
        <w:gridCol w:w="6841"/>
      </w:tblGrid>
      <w:tr w:rsidR="00083AEA" w14:paraId="134298B5" w14:textId="77777777" w:rsidTr="00A1703E">
        <w:tc>
          <w:tcPr>
            <w:tcW w:w="280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E9DC2CC" w14:textId="77777777" w:rsidR="00083AEA" w:rsidRDefault="00083AEA" w:rsidP="00A1703E">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16CE" w14:textId="77777777" w:rsidR="00083AEA" w:rsidRDefault="00083AEA" w:rsidP="00A1703E">
            <w:pPr>
              <w:pStyle w:val="Standard"/>
              <w:widowControl w:val="0"/>
              <w:spacing w:before="144" w:after="144"/>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Nie</w:t>
            </w:r>
          </w:p>
        </w:tc>
      </w:tr>
    </w:tbl>
    <w:p w14:paraId="4E58B36B" w14:textId="6865E417" w:rsidR="009B5491" w:rsidRPr="00DD7B98" w:rsidRDefault="009B5491" w:rsidP="00120C46">
      <w:pPr>
        <w:widowControl w:val="0"/>
        <w:autoSpaceDE w:val="0"/>
        <w:autoSpaceDN w:val="0"/>
        <w:adjustRightInd w:val="0"/>
        <w:spacing w:before="100" w:beforeAutospacing="1" w:after="600" w:line="240" w:lineRule="auto"/>
        <w:jc w:val="both"/>
        <w:rPr>
          <w:rFonts w:ascii="Times New Roman" w:eastAsia="Times New Roman" w:hAnsi="Times New Roman" w:cs="Times New Roman"/>
          <w:b/>
          <w:bCs/>
          <w:sz w:val="20"/>
          <w:szCs w:val="20"/>
        </w:rPr>
      </w:pPr>
      <w:r w:rsidRPr="00DD7B98">
        <w:rPr>
          <w:rFonts w:ascii="Times New Roman" w:eastAsia="Times New Roman" w:hAnsi="Times New Roman" w:cs="Times New Roman"/>
          <w:b/>
          <w:bCs/>
          <w:sz w:val="20"/>
          <w:szCs w:val="20"/>
        </w:rPr>
        <w:t>III. 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DF3A2D" w:rsidRPr="00DD7B98" w14:paraId="1229C02D" w14:textId="77777777" w:rsidTr="00A1703E">
        <w:tc>
          <w:tcPr>
            <w:tcW w:w="9648" w:type="dxa"/>
            <w:gridSpan w:val="3"/>
            <w:tcBorders>
              <w:bottom w:val="single" w:sz="4" w:space="0" w:color="auto"/>
            </w:tcBorders>
            <w:shd w:val="clear" w:color="auto" w:fill="E0E0E0"/>
          </w:tcPr>
          <w:p w14:paraId="114B55DD" w14:textId="1207B911" w:rsidR="00EA1C22" w:rsidRPr="00DD7B98" w:rsidRDefault="00EA1C22" w:rsidP="00120C46">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lastRenderedPageBreak/>
              <w:t>INFORMACJE DOTYCZĄCE GRUNTU I ZAGOSPODAROWANIA PRZESTRZENNEGO TERENU</w:t>
            </w:r>
          </w:p>
        </w:tc>
      </w:tr>
      <w:tr w:rsidR="00DF3A2D" w:rsidRPr="00DD7B98" w14:paraId="0DBB25B5" w14:textId="77777777" w:rsidTr="00A1703E">
        <w:trPr>
          <w:trHeight w:val="135"/>
        </w:trPr>
        <w:tc>
          <w:tcPr>
            <w:tcW w:w="2810" w:type="dxa"/>
            <w:shd w:val="clear" w:color="auto" w:fill="F3F3F3"/>
          </w:tcPr>
          <w:p w14:paraId="66BE3D5C" w14:textId="3EC7CBC0" w:rsidR="00EA1C22" w:rsidRPr="0094420F" w:rsidRDefault="00B74A56" w:rsidP="002B5B53">
            <w:pPr>
              <w:spacing w:beforeLines="60" w:before="144" w:afterLines="60" w:after="144" w:line="240" w:lineRule="auto"/>
              <w:rPr>
                <w:rFonts w:ascii="Times New Roman" w:eastAsia="Times New Roman" w:hAnsi="Times New Roman" w:cs="Times New Roman"/>
                <w:sz w:val="20"/>
                <w:szCs w:val="20"/>
              </w:rPr>
            </w:pPr>
            <w:r w:rsidRPr="0094420F">
              <w:rPr>
                <w:rFonts w:ascii="Times New Roman" w:hAnsi="Times New Roman" w:cs="Times New Roman"/>
                <w:sz w:val="20"/>
                <w:szCs w:val="20"/>
              </w:rPr>
              <w:t>Adres, numer działki ewidencyjnej i numer obrębu ewidencyjnego</w:t>
            </w:r>
            <w:r w:rsidR="00EA1C22" w:rsidRPr="0094420F">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124BCEC0" w14:textId="04DDEDCE" w:rsidR="00751880" w:rsidRPr="004E2327" w:rsidRDefault="00083AEA" w:rsidP="00910BA5">
            <w:pPr>
              <w:pStyle w:val="Standard"/>
              <w:widowControl w:val="0"/>
              <w:spacing w:before="144" w:after="144"/>
              <w:rPr>
                <w:rFonts w:ascii="Times New Roman" w:eastAsia="Times New Roman" w:hAnsi="Times New Roman" w:cs="Times New Roman"/>
                <w:sz w:val="20"/>
                <w:szCs w:val="20"/>
              </w:rPr>
            </w:pPr>
            <w:r w:rsidRPr="0094420F">
              <w:rPr>
                <w:rFonts w:ascii="Times New Roman" w:eastAsia="Times New Roman" w:hAnsi="Times New Roman" w:cs="Times New Roman"/>
                <w:sz w:val="20"/>
                <w:szCs w:val="20"/>
              </w:rPr>
              <w:t>dz. nr ewid.</w:t>
            </w:r>
            <w:r w:rsidR="004E2327">
              <w:rPr>
                <w:rFonts w:ascii="Times New Roman" w:eastAsia="Times New Roman" w:hAnsi="Times New Roman" w:cs="Times New Roman"/>
                <w:sz w:val="20"/>
                <w:szCs w:val="20"/>
              </w:rPr>
              <w:t xml:space="preserve"> 8/31, 8/</w:t>
            </w:r>
            <w:r w:rsidR="004E2327" w:rsidRPr="004E2327">
              <w:rPr>
                <w:rFonts w:ascii="Times New Roman" w:eastAsia="Times New Roman" w:hAnsi="Times New Roman" w:cs="Times New Roman"/>
                <w:sz w:val="20"/>
                <w:szCs w:val="20"/>
              </w:rPr>
              <w:t xml:space="preserve">32, 8/33, 8/34 </w:t>
            </w:r>
            <w:r w:rsidR="00751880" w:rsidRPr="004E2327">
              <w:rPr>
                <w:rFonts w:ascii="Times New Roman" w:eastAsia="Times New Roman" w:hAnsi="Times New Roman" w:cs="Times New Roman"/>
                <w:sz w:val="20"/>
                <w:szCs w:val="20"/>
              </w:rPr>
              <w:t xml:space="preserve">obr. </w:t>
            </w:r>
            <w:r w:rsidR="0004391E" w:rsidRPr="004E2327">
              <w:rPr>
                <w:rFonts w:ascii="Times New Roman" w:eastAsia="Times New Roman" w:hAnsi="Times New Roman" w:cs="Times New Roman"/>
                <w:sz w:val="20"/>
                <w:szCs w:val="20"/>
              </w:rPr>
              <w:t>0072 Grodzisk Mazowiecki</w:t>
            </w:r>
            <w:r w:rsidR="00751880" w:rsidRPr="004E2327">
              <w:rPr>
                <w:rFonts w:ascii="Times New Roman" w:eastAsia="Times New Roman" w:hAnsi="Times New Roman" w:cs="Times New Roman"/>
                <w:sz w:val="20"/>
                <w:szCs w:val="20"/>
              </w:rPr>
              <w:t xml:space="preserve"> („Nieruchomość”)</w:t>
            </w:r>
          </w:p>
          <w:p w14:paraId="0ADAB3CB" w14:textId="77777777" w:rsidR="004E2327" w:rsidRDefault="004E2327" w:rsidP="00910BA5">
            <w:pPr>
              <w:pStyle w:val="Standard"/>
              <w:widowControl w:val="0"/>
              <w:spacing w:before="144" w:after="144"/>
              <w:rPr>
                <w:rFonts w:ascii="Times New Roman" w:eastAsia="Times New Roman" w:hAnsi="Times New Roman" w:cs="Times New Roman"/>
                <w:sz w:val="20"/>
                <w:szCs w:val="20"/>
              </w:rPr>
            </w:pPr>
            <w:r w:rsidRPr="004E2327">
              <w:rPr>
                <w:rFonts w:ascii="Times New Roman" w:eastAsia="Times New Roman" w:hAnsi="Times New Roman" w:cs="Times New Roman"/>
                <w:sz w:val="20"/>
                <w:szCs w:val="20"/>
              </w:rPr>
              <w:t xml:space="preserve">dz. nr ewid. 8/3  obr. 0072 Grodzisk Mazowiecki („Działka Leśna”) </w:t>
            </w:r>
          </w:p>
          <w:p w14:paraId="2B44E969" w14:textId="69CCA3A7" w:rsidR="004E2327" w:rsidRPr="0094420F" w:rsidRDefault="004E2327" w:rsidP="00910BA5">
            <w:pPr>
              <w:pStyle w:val="Standard"/>
              <w:widowControl w:val="0"/>
              <w:spacing w:before="144" w:after="144"/>
              <w:rPr>
                <w:rFonts w:ascii="Times New Roman" w:eastAsia="Times New Roman" w:hAnsi="Times New Roman" w:cs="Times New Roman"/>
                <w:sz w:val="20"/>
                <w:szCs w:val="20"/>
              </w:rPr>
            </w:pPr>
            <w:r w:rsidRPr="004E2327">
              <w:rPr>
                <w:rFonts w:ascii="Times New Roman" w:eastAsia="Times New Roman" w:hAnsi="Times New Roman" w:cs="Times New Roman"/>
                <w:sz w:val="20"/>
                <w:szCs w:val="20"/>
              </w:rPr>
              <w:t>dz. nr ewid. 8/4 obr. 0072 Grodzisk Mazowiecki („Droga”)</w:t>
            </w:r>
          </w:p>
        </w:tc>
      </w:tr>
      <w:tr w:rsidR="00DF3A2D" w:rsidRPr="00DD7B98" w14:paraId="25F548F0" w14:textId="77777777" w:rsidTr="00A1703E">
        <w:trPr>
          <w:trHeight w:val="98"/>
        </w:trPr>
        <w:tc>
          <w:tcPr>
            <w:tcW w:w="2810" w:type="dxa"/>
            <w:shd w:val="clear" w:color="auto" w:fill="F3F3F3"/>
          </w:tcPr>
          <w:p w14:paraId="5FA24BF2" w14:textId="77777777" w:rsidR="00EA1C22" w:rsidRPr="00BC63ED" w:rsidRDefault="00EA1C22" w:rsidP="002B5B53">
            <w:pPr>
              <w:spacing w:beforeLines="60" w:before="144" w:afterLines="60" w:after="144" w:line="240" w:lineRule="auto"/>
              <w:rPr>
                <w:rFonts w:ascii="Times New Roman" w:eastAsia="Times New Roman" w:hAnsi="Times New Roman" w:cs="Times New Roman"/>
                <w:sz w:val="20"/>
                <w:szCs w:val="20"/>
              </w:rPr>
            </w:pPr>
            <w:r w:rsidRPr="00BC63ED">
              <w:rPr>
                <w:rFonts w:ascii="Times New Roman" w:eastAsia="Times New Roman" w:hAnsi="Times New Roman" w:cs="Times New Roman"/>
                <w:sz w:val="20"/>
                <w:szCs w:val="20"/>
              </w:rPr>
              <w:t xml:space="preserve">Numer księgi wieczystej </w:t>
            </w:r>
          </w:p>
        </w:tc>
        <w:tc>
          <w:tcPr>
            <w:tcW w:w="6838" w:type="dxa"/>
            <w:gridSpan w:val="2"/>
          </w:tcPr>
          <w:p w14:paraId="69380549" w14:textId="39B4D8DD" w:rsidR="002B32DD" w:rsidRPr="00BC63ED" w:rsidRDefault="002B32DD" w:rsidP="002B32DD">
            <w:pPr>
              <w:pStyle w:val="Standard"/>
              <w:widowControl w:val="0"/>
              <w:spacing w:before="144" w:after="144"/>
              <w:rPr>
                <w:rFonts w:ascii="Times New Roman" w:eastAsia="Times New Roman" w:hAnsi="Times New Roman" w:cs="Times New Roman"/>
                <w:sz w:val="20"/>
                <w:szCs w:val="20"/>
              </w:rPr>
            </w:pPr>
            <w:r w:rsidRPr="00BC63ED">
              <w:rPr>
                <w:rFonts w:ascii="Times New Roman" w:eastAsia="Times New Roman" w:hAnsi="Times New Roman" w:cs="Times New Roman"/>
                <w:sz w:val="20"/>
                <w:szCs w:val="20"/>
              </w:rPr>
              <w:t xml:space="preserve">dz. nr ewid. </w:t>
            </w:r>
            <w:r w:rsidR="00BC63ED" w:rsidRPr="00BC63ED">
              <w:rPr>
                <w:rFonts w:ascii="Times New Roman" w:eastAsia="Times New Roman" w:hAnsi="Times New Roman" w:cs="Times New Roman"/>
                <w:sz w:val="20"/>
                <w:szCs w:val="20"/>
              </w:rPr>
              <w:t xml:space="preserve">8/31, 8/32, 8/33, 8/34 </w:t>
            </w:r>
            <w:r w:rsidRPr="00BC63ED">
              <w:rPr>
                <w:rFonts w:ascii="Times New Roman" w:eastAsia="Times New Roman" w:hAnsi="Times New Roman" w:cs="Times New Roman"/>
                <w:sz w:val="20"/>
                <w:szCs w:val="20"/>
              </w:rPr>
              <w:t>obr. 0072 Grodzisk Mazowiecki („Nieruchomość”) - WA1G/00095356/0</w:t>
            </w:r>
          </w:p>
          <w:p w14:paraId="17B3027E" w14:textId="73965496" w:rsidR="002B32DD" w:rsidRPr="00BC63ED" w:rsidRDefault="002B32DD" w:rsidP="002B32DD">
            <w:pPr>
              <w:pStyle w:val="Standard"/>
              <w:widowControl w:val="0"/>
              <w:spacing w:before="144" w:after="144"/>
              <w:rPr>
                <w:rFonts w:ascii="Times New Roman" w:eastAsia="Times New Roman" w:hAnsi="Times New Roman" w:cs="Times New Roman"/>
                <w:sz w:val="20"/>
                <w:szCs w:val="20"/>
              </w:rPr>
            </w:pPr>
            <w:r w:rsidRPr="00BC63ED">
              <w:rPr>
                <w:rFonts w:ascii="Times New Roman" w:eastAsia="Times New Roman" w:hAnsi="Times New Roman" w:cs="Times New Roman"/>
                <w:sz w:val="20"/>
                <w:szCs w:val="20"/>
              </w:rPr>
              <w:t>dz. nr ewid. 8/3  obr. 0072 Grodzisk Mazowiecki („Działka Leśna”)  - WA1G/00095426/2</w:t>
            </w:r>
          </w:p>
          <w:p w14:paraId="70486FC8" w14:textId="497363EE" w:rsidR="00751880" w:rsidRPr="00BC63ED" w:rsidRDefault="002B32DD" w:rsidP="002B32DD">
            <w:pPr>
              <w:spacing w:beforeLines="60" w:before="144" w:afterLines="60" w:after="144" w:line="240" w:lineRule="auto"/>
              <w:rPr>
                <w:rFonts w:ascii="Times New Roman" w:eastAsia="Times New Roman" w:hAnsi="Times New Roman" w:cs="Times New Roman"/>
                <w:sz w:val="20"/>
                <w:szCs w:val="20"/>
              </w:rPr>
            </w:pPr>
            <w:r w:rsidRPr="00BC63ED">
              <w:rPr>
                <w:rFonts w:ascii="Times New Roman" w:eastAsia="Times New Roman" w:hAnsi="Times New Roman" w:cs="Times New Roman"/>
                <w:sz w:val="20"/>
                <w:szCs w:val="20"/>
              </w:rPr>
              <w:t>dz. nr ewid. 8/4 obr. 0072 Grodzisk Mazowiecki („Droga”) - WA1G/00095355/3</w:t>
            </w:r>
          </w:p>
        </w:tc>
      </w:tr>
      <w:tr w:rsidR="00DF3A2D" w:rsidRPr="00DD7B98" w14:paraId="0CEF5EFE" w14:textId="77777777" w:rsidTr="00A1703E">
        <w:trPr>
          <w:trHeight w:val="98"/>
        </w:trPr>
        <w:tc>
          <w:tcPr>
            <w:tcW w:w="2810" w:type="dxa"/>
            <w:shd w:val="clear" w:color="auto" w:fill="F3F3F3"/>
          </w:tcPr>
          <w:p w14:paraId="4DFBEDA3"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3BE09F1E" w14:textId="77777777" w:rsidR="00BC63ED" w:rsidRDefault="00BC63ED" w:rsidP="00BC63ED">
            <w:pPr>
              <w:pStyle w:val="Standard"/>
              <w:widowControl w:val="0"/>
              <w:spacing w:before="144" w:after="144"/>
              <w:rPr>
                <w:rFonts w:ascii="Times New Roman" w:eastAsia="Times New Roman" w:hAnsi="Times New Roman" w:cs="Times New Roman"/>
                <w:sz w:val="20"/>
                <w:szCs w:val="20"/>
              </w:rPr>
            </w:pPr>
            <w:r w:rsidRPr="00BC63ED">
              <w:rPr>
                <w:rFonts w:ascii="Times New Roman" w:eastAsia="Times New Roman" w:hAnsi="Times New Roman" w:cs="Times New Roman"/>
                <w:b/>
                <w:bCs/>
                <w:sz w:val="20"/>
                <w:szCs w:val="20"/>
              </w:rPr>
              <w:t>dz. nr ewid. 8/31, 8/32, 8/33, 8/34 obr. 0072 Grodzisk Mazowiecki („Nieruchomość”) - WA1G/00095356/0</w:t>
            </w:r>
            <w:r>
              <w:rPr>
                <w:rFonts w:ascii="Times New Roman" w:eastAsia="Times New Roman" w:hAnsi="Times New Roman" w:cs="Times New Roman"/>
                <w:sz w:val="20"/>
                <w:szCs w:val="20"/>
              </w:rPr>
              <w:t xml:space="preserve"> </w:t>
            </w:r>
          </w:p>
          <w:p w14:paraId="2DF685E9" w14:textId="48FD638B" w:rsidR="00BC63ED" w:rsidRPr="00BC63ED" w:rsidRDefault="00BC63ED" w:rsidP="00BC63ED">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p w14:paraId="24DB105C" w14:textId="77777777" w:rsidR="00BC63ED" w:rsidRDefault="00BC63ED" w:rsidP="00BC63ED">
            <w:pPr>
              <w:pStyle w:val="Standard"/>
              <w:widowControl w:val="0"/>
              <w:spacing w:before="144" w:after="144"/>
              <w:rPr>
                <w:rFonts w:ascii="Times New Roman" w:eastAsia="Times New Roman" w:hAnsi="Times New Roman" w:cs="Times New Roman"/>
                <w:sz w:val="20"/>
                <w:szCs w:val="20"/>
              </w:rPr>
            </w:pPr>
            <w:r w:rsidRPr="00BC63ED">
              <w:rPr>
                <w:rFonts w:ascii="Times New Roman" w:eastAsia="Times New Roman" w:hAnsi="Times New Roman" w:cs="Times New Roman"/>
                <w:b/>
                <w:bCs/>
                <w:sz w:val="20"/>
                <w:szCs w:val="20"/>
              </w:rPr>
              <w:t>dz. nr ewid. 8/3  obr. 0072 Grodzisk Mazowiecki („Działka Leśna”)  - WA1G/00095426/2</w:t>
            </w:r>
            <w:r>
              <w:rPr>
                <w:rFonts w:ascii="Times New Roman" w:eastAsia="Times New Roman" w:hAnsi="Times New Roman" w:cs="Times New Roman"/>
                <w:sz w:val="20"/>
                <w:szCs w:val="20"/>
              </w:rPr>
              <w:t xml:space="preserve"> </w:t>
            </w:r>
          </w:p>
          <w:p w14:paraId="07220023" w14:textId="7F532AB6" w:rsidR="00BC63ED" w:rsidRPr="00BC63ED" w:rsidRDefault="00BC63ED" w:rsidP="00BC63ED">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dziale IV księgi wieczystej widnieje wniosek o wpis hipoteki umownej łącznej - </w:t>
            </w:r>
            <w:r w:rsidRPr="00BC63ED">
              <w:rPr>
                <w:rFonts w:ascii="Times New Roman" w:eastAsia="Times New Roman" w:hAnsi="Times New Roman" w:cs="Times New Roman"/>
                <w:sz w:val="20"/>
                <w:szCs w:val="20"/>
              </w:rPr>
              <w:t>DZ. KW. / WA1G / 5802 / 26 / 1</w:t>
            </w:r>
            <w:r>
              <w:rPr>
                <w:rFonts w:ascii="Times New Roman" w:eastAsia="Times New Roman" w:hAnsi="Times New Roman" w:cs="Times New Roman"/>
                <w:sz w:val="20"/>
                <w:szCs w:val="20"/>
              </w:rPr>
              <w:t>, który to wniosek nie dotyczy udziału przysługującego Deweloperowi.</w:t>
            </w:r>
          </w:p>
          <w:p w14:paraId="5B45F28A" w14:textId="77777777" w:rsidR="00004A4B" w:rsidRPr="00BC63ED" w:rsidRDefault="00BC63ED" w:rsidP="00BC63ED">
            <w:pPr>
              <w:spacing w:beforeLines="60" w:before="144" w:afterLines="60" w:after="144" w:line="240" w:lineRule="auto"/>
              <w:rPr>
                <w:rFonts w:ascii="Times New Roman" w:eastAsia="Times New Roman" w:hAnsi="Times New Roman" w:cs="Times New Roman"/>
                <w:b/>
                <w:bCs/>
                <w:sz w:val="20"/>
                <w:szCs w:val="20"/>
              </w:rPr>
            </w:pPr>
            <w:r w:rsidRPr="00BC63ED">
              <w:rPr>
                <w:rFonts w:ascii="Times New Roman" w:eastAsia="Times New Roman" w:hAnsi="Times New Roman" w:cs="Times New Roman"/>
                <w:b/>
                <w:bCs/>
                <w:sz w:val="20"/>
                <w:szCs w:val="20"/>
              </w:rPr>
              <w:t>dz. nr ewid. 8/4 obr. 0072 Grodzisk Mazowiecki („Droga”) - WA1G/00095355/3</w:t>
            </w:r>
          </w:p>
          <w:p w14:paraId="2DE76173" w14:textId="60CA3CE7" w:rsidR="00BC63ED" w:rsidRDefault="007167B7"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BC63ED">
              <w:rPr>
                <w:rFonts w:ascii="Times New Roman" w:eastAsia="Times New Roman" w:hAnsi="Times New Roman" w:cs="Times New Roman"/>
                <w:sz w:val="20"/>
                <w:szCs w:val="20"/>
              </w:rPr>
              <w:t xml:space="preserve"> dziale IV księgi wieczystej widnieją:</w:t>
            </w:r>
          </w:p>
          <w:p w14:paraId="5C082300" w14:textId="77777777"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hipoteka umowna łączna; suma </w:t>
            </w:r>
            <w:r w:rsidRPr="00BC63ED">
              <w:rPr>
                <w:rFonts w:ascii="Times New Roman" w:eastAsia="Times New Roman" w:hAnsi="Times New Roman" w:cs="Times New Roman"/>
                <w:sz w:val="20"/>
                <w:szCs w:val="20"/>
              </w:rPr>
              <w:t>911</w:t>
            </w:r>
            <w:r>
              <w:rPr>
                <w:rFonts w:ascii="Times New Roman" w:eastAsia="Times New Roman" w:hAnsi="Times New Roman" w:cs="Times New Roman"/>
                <w:sz w:val="20"/>
                <w:szCs w:val="20"/>
              </w:rPr>
              <w:t>.</w:t>
            </w:r>
            <w:r w:rsidRPr="00BC63ED">
              <w:rPr>
                <w:rFonts w:ascii="Times New Roman" w:eastAsia="Times New Roman" w:hAnsi="Times New Roman" w:cs="Times New Roman"/>
                <w:sz w:val="20"/>
                <w:szCs w:val="20"/>
              </w:rPr>
              <w:t>200,00</w:t>
            </w:r>
            <w:r>
              <w:rPr>
                <w:rFonts w:ascii="Times New Roman" w:eastAsia="Times New Roman" w:hAnsi="Times New Roman" w:cs="Times New Roman"/>
                <w:sz w:val="20"/>
                <w:szCs w:val="20"/>
              </w:rPr>
              <w:t xml:space="preserve"> PLN;</w:t>
            </w:r>
          </w:p>
          <w:p w14:paraId="35284720" w14:textId="3F51D0E9"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hipoteka umowna łączna; suma </w:t>
            </w:r>
            <w:r w:rsidRPr="00BC63ED">
              <w:rPr>
                <w:rFonts w:ascii="Times New Roman" w:eastAsia="Times New Roman" w:hAnsi="Times New Roman" w:cs="Times New Roman"/>
                <w:sz w:val="20"/>
                <w:szCs w:val="20"/>
              </w:rPr>
              <w:t>9</w:t>
            </w:r>
            <w:r>
              <w:rPr>
                <w:rFonts w:ascii="Times New Roman" w:eastAsia="Times New Roman" w:hAnsi="Times New Roman" w:cs="Times New Roman"/>
                <w:sz w:val="20"/>
                <w:szCs w:val="20"/>
              </w:rPr>
              <w:t>79.</w:t>
            </w:r>
            <w:r w:rsidRPr="00BC63ED">
              <w:rPr>
                <w:rFonts w:ascii="Times New Roman" w:eastAsia="Times New Roman" w:hAnsi="Times New Roman" w:cs="Times New Roman"/>
                <w:sz w:val="20"/>
                <w:szCs w:val="20"/>
              </w:rPr>
              <w:t>200,00</w:t>
            </w:r>
            <w:r>
              <w:rPr>
                <w:rFonts w:ascii="Times New Roman" w:eastAsia="Times New Roman" w:hAnsi="Times New Roman" w:cs="Times New Roman"/>
                <w:sz w:val="20"/>
                <w:szCs w:val="20"/>
              </w:rPr>
              <w:t xml:space="preserve"> PLN;</w:t>
            </w:r>
          </w:p>
          <w:p w14:paraId="6271B2CB" w14:textId="178C70D6"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hipoteka umowna łączna; suma </w:t>
            </w:r>
            <w:r w:rsidRPr="00BC63ED">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BC63ED">
              <w:rPr>
                <w:rFonts w:ascii="Times New Roman" w:eastAsia="Times New Roman" w:hAnsi="Times New Roman" w:cs="Times New Roman"/>
                <w:sz w:val="20"/>
                <w:szCs w:val="20"/>
              </w:rPr>
              <w:t>121</w:t>
            </w:r>
            <w:r>
              <w:rPr>
                <w:rFonts w:ascii="Times New Roman" w:eastAsia="Times New Roman" w:hAnsi="Times New Roman" w:cs="Times New Roman"/>
                <w:sz w:val="20"/>
                <w:szCs w:val="20"/>
              </w:rPr>
              <w:t>.</w:t>
            </w:r>
            <w:r w:rsidRPr="00BC63ED">
              <w:rPr>
                <w:rFonts w:ascii="Times New Roman" w:eastAsia="Times New Roman" w:hAnsi="Times New Roman" w:cs="Times New Roman"/>
                <w:sz w:val="20"/>
                <w:szCs w:val="20"/>
              </w:rPr>
              <w:t>621,60</w:t>
            </w:r>
            <w:r>
              <w:rPr>
                <w:rFonts w:ascii="Times New Roman" w:eastAsia="Times New Roman" w:hAnsi="Times New Roman" w:cs="Times New Roman"/>
                <w:sz w:val="20"/>
                <w:szCs w:val="20"/>
              </w:rPr>
              <w:t xml:space="preserve"> PLN;</w:t>
            </w:r>
          </w:p>
          <w:p w14:paraId="0CD1E6C1" w14:textId="77777777"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hipoteka umowna łączna; suma </w:t>
            </w:r>
            <w:r w:rsidRPr="00BC63ED">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BC63ED">
              <w:rPr>
                <w:rFonts w:ascii="Times New Roman" w:eastAsia="Times New Roman" w:hAnsi="Times New Roman" w:cs="Times New Roman"/>
                <w:sz w:val="20"/>
                <w:szCs w:val="20"/>
              </w:rPr>
              <w:t>121</w:t>
            </w:r>
            <w:r>
              <w:rPr>
                <w:rFonts w:ascii="Times New Roman" w:eastAsia="Times New Roman" w:hAnsi="Times New Roman" w:cs="Times New Roman"/>
                <w:sz w:val="20"/>
                <w:szCs w:val="20"/>
              </w:rPr>
              <w:t>.</w:t>
            </w:r>
            <w:r w:rsidRPr="00BC63ED">
              <w:rPr>
                <w:rFonts w:ascii="Times New Roman" w:eastAsia="Times New Roman" w:hAnsi="Times New Roman" w:cs="Times New Roman"/>
                <w:sz w:val="20"/>
                <w:szCs w:val="20"/>
              </w:rPr>
              <w:t>621,60</w:t>
            </w:r>
            <w:r>
              <w:rPr>
                <w:rFonts w:ascii="Times New Roman" w:eastAsia="Times New Roman" w:hAnsi="Times New Roman" w:cs="Times New Roman"/>
                <w:sz w:val="20"/>
                <w:szCs w:val="20"/>
              </w:rPr>
              <w:t xml:space="preserve"> PLN;</w:t>
            </w:r>
          </w:p>
          <w:p w14:paraId="5BE992BF" w14:textId="0FC9D719"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wzmianka o wniosku </w:t>
            </w:r>
            <w:r w:rsidRPr="00BC63ED">
              <w:rPr>
                <w:rFonts w:ascii="Times New Roman" w:eastAsia="Times New Roman" w:hAnsi="Times New Roman" w:cs="Times New Roman"/>
                <w:sz w:val="20"/>
                <w:szCs w:val="20"/>
              </w:rPr>
              <w:t>DZ. KW. / WA1G / 5802 / 26 / 1</w:t>
            </w:r>
            <w:r>
              <w:rPr>
                <w:rFonts w:ascii="Times New Roman" w:eastAsia="Times New Roman" w:hAnsi="Times New Roman" w:cs="Times New Roman"/>
                <w:sz w:val="20"/>
                <w:szCs w:val="20"/>
              </w:rPr>
              <w:t>; obejmująca żądanie wpisu hipoteki umownej łącznej;</w:t>
            </w:r>
          </w:p>
          <w:p w14:paraId="4F2BC3AC" w14:textId="75CC590B"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wzmianka o wniosku </w:t>
            </w:r>
            <w:r w:rsidRPr="00BC63ED">
              <w:rPr>
                <w:rFonts w:ascii="Times New Roman" w:eastAsia="Times New Roman" w:hAnsi="Times New Roman" w:cs="Times New Roman"/>
                <w:sz w:val="20"/>
                <w:szCs w:val="20"/>
              </w:rPr>
              <w:t>DZ. KW. / WA1G / 6106 / 26 / 1</w:t>
            </w:r>
            <w:r>
              <w:rPr>
                <w:rFonts w:ascii="Times New Roman" w:eastAsia="Times New Roman" w:hAnsi="Times New Roman" w:cs="Times New Roman"/>
                <w:sz w:val="20"/>
                <w:szCs w:val="20"/>
              </w:rPr>
              <w:t>; obejmująca żądanie wpisu hipoteki umownej łącznej;</w:t>
            </w:r>
          </w:p>
          <w:p w14:paraId="37A7C224" w14:textId="193B2EBC" w:rsidR="00BC63ED"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wzmianka o wniosku </w:t>
            </w:r>
            <w:r w:rsidRPr="00BC63ED">
              <w:rPr>
                <w:rFonts w:ascii="Times New Roman" w:eastAsia="Times New Roman" w:hAnsi="Times New Roman" w:cs="Times New Roman"/>
                <w:sz w:val="20"/>
                <w:szCs w:val="20"/>
              </w:rPr>
              <w:t>DZ. KW. / WA1G / 5038 / 26 / 1</w:t>
            </w:r>
            <w:r>
              <w:rPr>
                <w:rFonts w:ascii="Times New Roman" w:eastAsia="Times New Roman" w:hAnsi="Times New Roman" w:cs="Times New Roman"/>
                <w:sz w:val="20"/>
                <w:szCs w:val="20"/>
              </w:rPr>
              <w:t>; obejmująca żądanie wpisu hipoteki umownej łącznej</w:t>
            </w:r>
            <w:r w:rsidR="007167B7">
              <w:rPr>
                <w:rFonts w:ascii="Times New Roman" w:eastAsia="Times New Roman" w:hAnsi="Times New Roman" w:cs="Times New Roman"/>
                <w:sz w:val="20"/>
                <w:szCs w:val="20"/>
              </w:rPr>
              <w:t>.</w:t>
            </w:r>
          </w:p>
          <w:p w14:paraId="54D866DF" w14:textId="0E7CAFB3" w:rsidR="00BC63ED" w:rsidRPr="00DD7B98" w:rsidRDefault="00BC63ED" w:rsidP="00BC63E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Powołane wyżej hipoteki oraz wnioski o wpis hipotek nie dotyczą udziału przysługującego Deweloperowi.</w:t>
            </w:r>
          </w:p>
        </w:tc>
      </w:tr>
      <w:tr w:rsidR="00DF3A2D" w:rsidRPr="00DD7B98" w14:paraId="278CEAB5" w14:textId="77777777" w:rsidTr="00A1703E">
        <w:trPr>
          <w:trHeight w:val="97"/>
        </w:trPr>
        <w:tc>
          <w:tcPr>
            <w:tcW w:w="2810" w:type="dxa"/>
            <w:shd w:val="clear" w:color="auto" w:fill="F3F3F3"/>
          </w:tcPr>
          <w:p w14:paraId="561BF1EA"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przypadku braku księgi wieczystej informacja o powierzchni działki i stanie prawnym nieruchomości</w:t>
            </w:r>
            <w:r w:rsidRPr="00DD7B98">
              <w:rPr>
                <w:rFonts w:ascii="Times New Roman" w:eastAsia="Times New Roman" w:hAnsi="Times New Roman" w:cs="Times New Roman"/>
                <w:sz w:val="20"/>
                <w:szCs w:val="20"/>
                <w:vertAlign w:val="superscript"/>
              </w:rPr>
              <w:footnoteReference w:customMarkFollows="1" w:id="2"/>
              <w:t>2)</w:t>
            </w:r>
            <w:r w:rsidRPr="00DD7B98">
              <w:rPr>
                <w:rFonts w:ascii="Times New Roman" w:eastAsia="Times New Roman" w:hAnsi="Times New Roman" w:cs="Times New Roman"/>
                <w:sz w:val="20"/>
                <w:szCs w:val="20"/>
              </w:rPr>
              <w:t xml:space="preserve"> </w:t>
            </w:r>
          </w:p>
        </w:tc>
        <w:tc>
          <w:tcPr>
            <w:tcW w:w="6838" w:type="dxa"/>
            <w:gridSpan w:val="2"/>
          </w:tcPr>
          <w:p w14:paraId="091C8E54" w14:textId="3DB05845" w:rsidR="00EA1C22" w:rsidRPr="00DD7B98" w:rsidRDefault="00D01969"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DF3A2D" w:rsidRPr="00DD7B98" w14:paraId="1D093AC7" w14:textId="77777777" w:rsidTr="00A1703E">
        <w:trPr>
          <w:trHeight w:val="97"/>
        </w:trPr>
        <w:tc>
          <w:tcPr>
            <w:tcW w:w="2810" w:type="dxa"/>
            <w:shd w:val="clear" w:color="auto" w:fill="F3F3F3"/>
          </w:tcPr>
          <w:p w14:paraId="12A617AC" w14:textId="50E67BC0"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 xml:space="preserve">Informacje dotyczące obiektów istniejących położonych w </w:t>
            </w:r>
            <w:r w:rsidRPr="00DD7B98">
              <w:rPr>
                <w:rFonts w:ascii="Times New Roman" w:eastAsia="Times New Roman" w:hAnsi="Times New Roman" w:cs="Times New Roman"/>
                <w:sz w:val="20"/>
                <w:szCs w:val="20"/>
              </w:rPr>
              <w:lastRenderedPageBreak/>
              <w:t>sąsiedztwie inwestycji i wpływających na warunki życia</w:t>
            </w:r>
            <w:r w:rsidRPr="00DD7B98">
              <w:rPr>
                <w:rFonts w:ascii="Times New Roman" w:eastAsia="Times New Roman" w:hAnsi="Times New Roman" w:cs="Times New Roman"/>
                <w:sz w:val="20"/>
                <w:szCs w:val="20"/>
                <w:vertAlign w:val="superscript"/>
              </w:rPr>
              <w:footnoteReference w:customMarkFollows="1" w:id="3"/>
              <w:t>3)</w:t>
            </w:r>
          </w:p>
        </w:tc>
        <w:tc>
          <w:tcPr>
            <w:tcW w:w="6838" w:type="dxa"/>
            <w:gridSpan w:val="2"/>
          </w:tcPr>
          <w:p w14:paraId="117F7FFA" w14:textId="0D7D92AA" w:rsidR="00512D6D" w:rsidRDefault="00DE6F34" w:rsidP="002B5B53">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Tereny sąsiednie przeznaczone są częściowo jako tereny leśne, a częściowo jako tereny pod zabudowę mieszkaniową jednorodzinną. W sąsiedztwie znajdują się </w:t>
            </w:r>
            <w:r>
              <w:rPr>
                <w:rFonts w:ascii="Times New Roman" w:eastAsia="Times New Roman" w:hAnsi="Times New Roman" w:cs="Times New Roman"/>
                <w:sz w:val="20"/>
                <w:szCs w:val="20"/>
                <w:lang w:eastAsia="pl-PL"/>
              </w:rPr>
              <w:lastRenderedPageBreak/>
              <w:t>także ciągu komunikacyjne stanowiące odpowiednio drogi gminne oraz droga powiatowa.</w:t>
            </w:r>
          </w:p>
          <w:p w14:paraId="1B0EACD5" w14:textId="076D91D0"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Uwarunkowania lokalizacji inwestycji wynikające z istniejącego stanu użytkowania terenów sąsiednich (np. z funkcji terenu, stref ochronnych, uciążliwości)</w:t>
            </w:r>
          </w:p>
        </w:tc>
      </w:tr>
      <w:tr w:rsidR="00DF3A2D" w:rsidRPr="00DD7B98" w14:paraId="4487FBE5" w14:textId="77777777" w:rsidTr="00A1703E">
        <w:trPr>
          <w:trHeight w:val="320"/>
        </w:trPr>
        <w:tc>
          <w:tcPr>
            <w:tcW w:w="2810" w:type="dxa"/>
            <w:vMerge w:val="restart"/>
            <w:shd w:val="clear" w:color="auto" w:fill="F3F3F3"/>
          </w:tcPr>
          <w:p w14:paraId="2C5F873F" w14:textId="23DBFBE8"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lastRenderedPageBreak/>
              <w:t>Akty planowania przestrzennego i inne akty prawne na terenie objętym przedsięwzięciem deweloperskim lub zadaniem inwestycyjnym</w:t>
            </w:r>
          </w:p>
        </w:tc>
        <w:tc>
          <w:tcPr>
            <w:tcW w:w="3419" w:type="dxa"/>
          </w:tcPr>
          <w:p w14:paraId="65C51AD2" w14:textId="63C60F91" w:rsidR="00D01969" w:rsidRPr="00D01969" w:rsidRDefault="00D01969" w:rsidP="00D01969">
            <w:pPr>
              <w:pStyle w:val="Standard"/>
              <w:widowControl w:val="0"/>
              <w:spacing w:before="144" w:after="144"/>
            </w:pPr>
            <w:r>
              <w:rPr>
                <w:rFonts w:ascii="Times New Roman" w:eastAsia="Times New Roman" w:hAnsi="Times New Roman" w:cs="Times New Roman"/>
                <w:sz w:val="20"/>
                <w:szCs w:val="20"/>
                <w:lang w:eastAsia="pl-PL"/>
              </w:rPr>
              <w:t>Brak</w:t>
            </w:r>
          </w:p>
          <w:p w14:paraId="67D45041" w14:textId="7A85456B" w:rsidR="00D01969" w:rsidRPr="00D01969" w:rsidRDefault="00D6706C" w:rsidP="00D01969">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Plan ogólny gminy</w:t>
            </w:r>
          </w:p>
        </w:tc>
        <w:tc>
          <w:tcPr>
            <w:tcW w:w="3419" w:type="dxa"/>
            <w:vMerge w:val="restart"/>
          </w:tcPr>
          <w:p w14:paraId="5717BBAF" w14:textId="6B27866B" w:rsidR="00D6706C" w:rsidRPr="00DD7B98" w:rsidRDefault="00D6706C" w:rsidP="00A1579D">
            <w:pPr>
              <w:spacing w:before="240"/>
              <w:rPr>
                <w:rFonts w:ascii="Times New Roman" w:hAnsi="Times New Roman" w:cs="Times New Roman"/>
                <w:sz w:val="20"/>
                <w:szCs w:val="20"/>
              </w:rPr>
            </w:pPr>
            <w:r w:rsidRPr="00DD7B98">
              <w:rPr>
                <w:rFonts w:ascii="Times New Roman" w:hAnsi="Times New Roman" w:cs="Times New Roman"/>
                <w:sz w:val="20"/>
                <w:szCs w:val="20"/>
              </w:rPr>
              <w:t xml:space="preserve">Numer i data aktu prawnego, nazwa </w:t>
            </w:r>
            <w:r w:rsidR="00A07F91">
              <w:rPr>
                <w:rFonts w:ascii="Times New Roman" w:hAnsi="Times New Roman" w:cs="Times New Roman"/>
                <w:sz w:val="20"/>
                <w:szCs w:val="20"/>
              </w:rPr>
              <w:t>organu oraz miejsce publikacji</w:t>
            </w:r>
          </w:p>
        </w:tc>
      </w:tr>
      <w:tr w:rsidR="00DF3A2D" w:rsidRPr="00DD7B98" w14:paraId="7DEDBC35" w14:textId="77777777" w:rsidTr="00A1703E">
        <w:trPr>
          <w:trHeight w:val="317"/>
        </w:trPr>
        <w:tc>
          <w:tcPr>
            <w:tcW w:w="2810" w:type="dxa"/>
            <w:vMerge/>
            <w:shd w:val="clear" w:color="auto" w:fill="F3F3F3"/>
          </w:tcPr>
          <w:p w14:paraId="2FD7596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43952F88" w14:textId="78EE109D" w:rsidR="00385AE3" w:rsidRPr="00385AE3" w:rsidRDefault="00433049" w:rsidP="00385AE3">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w:t>
            </w:r>
          </w:p>
          <w:p w14:paraId="738EB79C" w14:textId="0B5CDFFA" w:rsidR="00D6706C" w:rsidRPr="00DD7B98" w:rsidRDefault="00D6706C" w:rsidP="00385AE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Miejscowy plan zagospodarowania przestrzennego</w:t>
            </w:r>
          </w:p>
        </w:tc>
        <w:tc>
          <w:tcPr>
            <w:tcW w:w="3419" w:type="dxa"/>
            <w:vMerge/>
          </w:tcPr>
          <w:p w14:paraId="4526D60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6064654A" w14:textId="77777777" w:rsidTr="00A1703E">
        <w:trPr>
          <w:trHeight w:val="317"/>
        </w:trPr>
        <w:tc>
          <w:tcPr>
            <w:tcW w:w="2810" w:type="dxa"/>
            <w:vMerge/>
            <w:shd w:val="clear" w:color="auto" w:fill="F3F3F3"/>
          </w:tcPr>
          <w:p w14:paraId="2EE41FD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7E375EC7" w14:textId="77777777" w:rsidR="0076678C" w:rsidRPr="002607E7" w:rsidRDefault="0076678C" w:rsidP="0076678C">
            <w:pPr>
              <w:pStyle w:val="Standard"/>
              <w:widowControl w:val="0"/>
              <w:spacing w:before="144" w:after="144"/>
            </w:pPr>
            <w:r w:rsidRPr="002607E7">
              <w:rPr>
                <w:rFonts w:ascii="Times New Roman" w:eastAsia="Times New Roman" w:hAnsi="Times New Roman" w:cs="Times New Roman"/>
                <w:sz w:val="20"/>
                <w:szCs w:val="20"/>
                <w:lang w:eastAsia="pl-PL"/>
              </w:rPr>
              <w:t>Brak</w:t>
            </w:r>
          </w:p>
          <w:p w14:paraId="00A67432" w14:textId="3562A01E" w:rsidR="00D6706C" w:rsidRPr="00DD7B98" w:rsidRDefault="00064B7B" w:rsidP="002B5B53">
            <w:pPr>
              <w:spacing w:beforeLines="60" w:before="144" w:afterLines="60" w:after="144" w:line="240" w:lineRule="auto"/>
              <w:rPr>
                <w:rFonts w:ascii="Times New Roman" w:eastAsia="Times New Roman" w:hAnsi="Times New Roman" w:cs="Times New Roman"/>
                <w:sz w:val="20"/>
                <w:szCs w:val="20"/>
              </w:rPr>
            </w:pPr>
            <w:r w:rsidRPr="002607E7">
              <w:rPr>
                <w:rFonts w:ascii="Times New Roman" w:eastAsia="Times New Roman" w:hAnsi="Times New Roman" w:cs="Times New Roman"/>
                <w:sz w:val="20"/>
                <w:szCs w:val="20"/>
                <w:lang w:eastAsia="pl-PL"/>
              </w:rPr>
              <w:t>Miejscowy plan odbudowy</w:t>
            </w:r>
          </w:p>
        </w:tc>
        <w:tc>
          <w:tcPr>
            <w:tcW w:w="3419" w:type="dxa"/>
            <w:vMerge/>
          </w:tcPr>
          <w:p w14:paraId="0CC443A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902405B" w14:textId="77777777" w:rsidTr="00A1703E">
        <w:trPr>
          <w:trHeight w:val="317"/>
        </w:trPr>
        <w:tc>
          <w:tcPr>
            <w:tcW w:w="2810" w:type="dxa"/>
            <w:vMerge/>
            <w:shd w:val="clear" w:color="auto" w:fill="F3F3F3"/>
          </w:tcPr>
          <w:p w14:paraId="068EA463"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111FBC87" w14:textId="538BE29A" w:rsidR="00802166" w:rsidRDefault="00AC016C" w:rsidP="00802166">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Uchwała Nr</w:t>
            </w:r>
            <w:r w:rsidR="00802166" w:rsidRPr="00802166">
              <w:rPr>
                <w:rFonts w:ascii="Times New Roman" w:eastAsia="Times New Roman" w:hAnsi="Times New Roman" w:cs="Times New Roman"/>
                <w:sz w:val="20"/>
                <w:szCs w:val="20"/>
                <w:lang w:eastAsia="pl-PL"/>
              </w:rPr>
              <w:t xml:space="preserve"> 746/2022</w:t>
            </w:r>
            <w:r w:rsidR="0052578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Rady Miejskiej w Grodzisku Mazowieckim </w:t>
            </w:r>
            <w:r w:rsidR="00802166" w:rsidRPr="00802166">
              <w:rPr>
                <w:rFonts w:ascii="Times New Roman" w:eastAsia="Times New Roman" w:hAnsi="Times New Roman" w:cs="Times New Roman"/>
                <w:sz w:val="20"/>
                <w:szCs w:val="20"/>
                <w:lang w:eastAsia="pl-PL"/>
              </w:rPr>
              <w:t>z dnia 20 kwietnia 2022 r.</w:t>
            </w:r>
            <w:r>
              <w:rPr>
                <w:rFonts w:ascii="Times New Roman" w:eastAsia="Times New Roman" w:hAnsi="Times New Roman" w:cs="Times New Roman"/>
                <w:sz w:val="20"/>
                <w:szCs w:val="20"/>
                <w:lang w:eastAsia="pl-PL"/>
              </w:rPr>
              <w:t xml:space="preserve"> </w:t>
            </w:r>
            <w:r w:rsidR="00802166" w:rsidRPr="00802166">
              <w:rPr>
                <w:rFonts w:ascii="Times New Roman" w:eastAsia="Times New Roman" w:hAnsi="Times New Roman" w:cs="Times New Roman"/>
                <w:sz w:val="20"/>
                <w:szCs w:val="20"/>
                <w:lang w:eastAsia="pl-PL"/>
              </w:rPr>
              <w:t>w sprawie ustalenia zasad i warunków sytuowania na terenie gminy Grodzisk Mazowiecki obiektów</w:t>
            </w:r>
            <w:r w:rsidR="00802166">
              <w:rPr>
                <w:rFonts w:ascii="Times New Roman" w:eastAsia="Times New Roman" w:hAnsi="Times New Roman" w:cs="Times New Roman"/>
                <w:sz w:val="20"/>
                <w:szCs w:val="20"/>
                <w:lang w:eastAsia="pl-PL"/>
              </w:rPr>
              <w:t xml:space="preserve"> </w:t>
            </w:r>
            <w:r w:rsidR="00802166" w:rsidRPr="00802166">
              <w:rPr>
                <w:rFonts w:ascii="Times New Roman" w:eastAsia="Times New Roman" w:hAnsi="Times New Roman" w:cs="Times New Roman"/>
                <w:sz w:val="20"/>
                <w:szCs w:val="20"/>
                <w:lang w:eastAsia="pl-PL"/>
              </w:rPr>
              <w:t>małej architektury, tablic reklamowych i urządzeń reklamowych oraz ogrodzeń, ich gabarytów,</w:t>
            </w:r>
            <w:r w:rsidR="00802166">
              <w:rPr>
                <w:rFonts w:ascii="Times New Roman" w:eastAsia="Times New Roman" w:hAnsi="Times New Roman" w:cs="Times New Roman"/>
                <w:sz w:val="20"/>
                <w:szCs w:val="20"/>
                <w:lang w:eastAsia="pl-PL"/>
              </w:rPr>
              <w:t xml:space="preserve"> </w:t>
            </w:r>
            <w:r w:rsidR="00802166" w:rsidRPr="00802166">
              <w:rPr>
                <w:rFonts w:ascii="Times New Roman" w:eastAsia="Times New Roman" w:hAnsi="Times New Roman" w:cs="Times New Roman"/>
                <w:sz w:val="20"/>
                <w:szCs w:val="20"/>
                <w:lang w:eastAsia="pl-PL"/>
              </w:rPr>
              <w:t>standardów jakościowych oraz rodzajów materiałów budowlanych, z jakich mogą być wykonane</w:t>
            </w:r>
            <w:r>
              <w:rPr>
                <w:rFonts w:ascii="Times New Roman" w:eastAsia="Times New Roman" w:hAnsi="Times New Roman" w:cs="Times New Roman"/>
                <w:sz w:val="20"/>
                <w:szCs w:val="20"/>
                <w:lang w:eastAsia="pl-PL"/>
              </w:rPr>
              <w:t xml:space="preserve"> </w:t>
            </w:r>
            <w:r w:rsidR="00802166">
              <w:rPr>
                <w:rFonts w:ascii="Times New Roman" w:eastAsia="Times New Roman" w:hAnsi="Times New Roman" w:cs="Times New Roman"/>
                <w:sz w:val="20"/>
                <w:szCs w:val="20"/>
                <w:lang w:eastAsia="pl-PL"/>
              </w:rPr>
              <w:t>(Dz. Urz. Woj. Maz. z dnia 26 kwietnia 2022 r. poz. 4917)</w:t>
            </w:r>
          </w:p>
          <w:p w14:paraId="581E7181" w14:textId="692A01CC" w:rsidR="007167B7" w:rsidRPr="00AE5C4D" w:rsidRDefault="007167B7" w:rsidP="00802166">
            <w:pPr>
              <w:spacing w:beforeLines="60" w:before="144" w:afterLines="60" w:after="144" w:line="240" w:lineRule="auto"/>
              <w:rPr>
                <w:rFonts w:ascii="Times New Roman" w:eastAsia="Times New Roman" w:hAnsi="Times New Roman" w:cs="Times New Roman"/>
                <w:sz w:val="20"/>
                <w:szCs w:val="20"/>
                <w:lang w:eastAsia="pl-PL"/>
              </w:rPr>
            </w:pPr>
            <w:hyperlink r:id="rId8" w:history="1">
              <w:r w:rsidRPr="00AE5C4D">
                <w:rPr>
                  <w:rStyle w:val="Hipercze"/>
                  <w:rFonts w:ascii="Times New Roman" w:eastAsia="Times New Roman" w:hAnsi="Times New Roman" w:cs="Times New Roman"/>
                  <w:color w:val="auto"/>
                  <w:sz w:val="20"/>
                  <w:szCs w:val="20"/>
                  <w:u w:val="none"/>
                  <w:lang w:eastAsia="pl-PL"/>
                </w:rPr>
                <w:t>https://grodziskmazowiecki.e-mapa.net/</w:t>
              </w:r>
            </w:hyperlink>
          </w:p>
          <w:p w14:paraId="186032BF" w14:textId="2FB8EF40" w:rsidR="007167B7" w:rsidRPr="00AE5C4D" w:rsidRDefault="007167B7" w:rsidP="00802166">
            <w:pPr>
              <w:spacing w:beforeLines="60" w:before="144" w:afterLines="60" w:after="144" w:line="240" w:lineRule="auto"/>
              <w:rPr>
                <w:rFonts w:ascii="Times New Roman" w:eastAsia="Times New Roman" w:hAnsi="Times New Roman" w:cs="Times New Roman"/>
                <w:sz w:val="20"/>
                <w:szCs w:val="20"/>
                <w:lang w:eastAsia="pl-PL"/>
              </w:rPr>
            </w:pPr>
            <w:hyperlink r:id="rId9" w:anchor="organization/%2Fapi%2Forganizations%2F8f072065-8cc7-4be0-bb46-44663258fa23/extent/586804.4743356549%2C454815.1767424802%2C621248.3511491546%2C488186.62515702477/module/app" w:history="1">
              <w:r w:rsidRPr="00AE5C4D">
                <w:rPr>
                  <w:rStyle w:val="Hipercze"/>
                  <w:rFonts w:ascii="Times New Roman" w:eastAsia="Times New Roman" w:hAnsi="Times New Roman" w:cs="Times New Roman"/>
                  <w:color w:val="auto"/>
                  <w:sz w:val="20"/>
                  <w:szCs w:val="20"/>
                  <w:u w:val="none"/>
                  <w:lang w:eastAsia="pl-PL"/>
                </w:rPr>
                <w:t>https://voxly.pl/#organization/%2Fapi%2Forganizations%2F8f072065-8cc7-4be0-bb46-44663258fa23/extent/586804.4743356549%2C454815.1767424802%2C621248.3511491546%2C488186.62515702477/module/app</w:t>
              </w:r>
            </w:hyperlink>
          </w:p>
          <w:p w14:paraId="655D1916" w14:textId="3F985B33" w:rsidR="00FF1415" w:rsidRPr="00AE5C4D" w:rsidRDefault="00FF1415" w:rsidP="00FF1415">
            <w:pPr>
              <w:spacing w:beforeLines="60" w:before="144" w:afterLines="60" w:after="144" w:line="240" w:lineRule="auto"/>
              <w:rPr>
                <w:rFonts w:ascii="Times New Roman" w:eastAsia="Times New Roman" w:hAnsi="Times New Roman" w:cs="Times New Roman"/>
                <w:sz w:val="20"/>
                <w:szCs w:val="20"/>
                <w:lang w:eastAsia="pl-PL"/>
              </w:rPr>
            </w:pPr>
            <w:hyperlink r:id="rId10" w:history="1">
              <w:r w:rsidRPr="00AE5C4D">
                <w:rPr>
                  <w:rStyle w:val="Hipercze"/>
                  <w:rFonts w:ascii="Times New Roman" w:eastAsia="Times New Roman" w:hAnsi="Times New Roman" w:cs="Times New Roman"/>
                  <w:color w:val="auto"/>
                  <w:sz w:val="20"/>
                  <w:szCs w:val="20"/>
                  <w:u w:val="none"/>
                  <w:lang w:eastAsia="pl-PL"/>
                </w:rPr>
                <w:t>https://crfop.gdos.gov.pl/</w:t>
              </w:r>
            </w:hyperlink>
            <w:r w:rsidRPr="00AE5C4D">
              <w:rPr>
                <w:rFonts w:ascii="Times New Roman" w:eastAsia="Times New Roman" w:hAnsi="Times New Roman" w:cs="Times New Roman"/>
                <w:sz w:val="20"/>
                <w:szCs w:val="20"/>
                <w:lang w:eastAsia="pl-PL"/>
              </w:rPr>
              <w:t xml:space="preserve">  (centralny rejestr form ochrony przyrody)</w:t>
            </w:r>
          </w:p>
          <w:p w14:paraId="37D37900" w14:textId="46D5BFC7" w:rsidR="00FF1415" w:rsidRPr="00AE5C4D" w:rsidRDefault="00FF1415" w:rsidP="00FF1415">
            <w:pPr>
              <w:spacing w:beforeLines="60" w:before="144" w:afterLines="60" w:after="144" w:line="240" w:lineRule="auto"/>
            </w:pPr>
            <w:hyperlink r:id="rId11" w:history="1">
              <w:r w:rsidRPr="00AE5C4D">
                <w:rPr>
                  <w:rStyle w:val="Hipercze"/>
                  <w:rFonts w:ascii="Times New Roman" w:eastAsia="Times New Roman" w:hAnsi="Times New Roman" w:cs="Times New Roman"/>
                  <w:color w:val="auto"/>
                  <w:sz w:val="20"/>
                  <w:szCs w:val="20"/>
                  <w:u w:val="none"/>
                  <w:lang w:eastAsia="pl-PL"/>
                </w:rPr>
                <w:t>https://www.gov.pl/web/rdos-warszawa/zarzadzenia-regionalnego-dyrektora-ochrony-srodowiska-w-warszawie</w:t>
              </w:r>
            </w:hyperlink>
          </w:p>
          <w:p w14:paraId="21157934" w14:textId="77777777" w:rsidR="00FF1415" w:rsidRPr="00AE5C4D" w:rsidRDefault="00FF1415" w:rsidP="00FF1415">
            <w:pPr>
              <w:spacing w:beforeLines="60" w:before="144" w:afterLines="60" w:after="144" w:line="240" w:lineRule="auto"/>
              <w:rPr>
                <w:rFonts w:ascii="Times New Roman" w:eastAsia="Times New Roman" w:hAnsi="Times New Roman" w:cs="Times New Roman"/>
                <w:sz w:val="20"/>
                <w:szCs w:val="20"/>
                <w:lang w:eastAsia="pl-PL"/>
              </w:rPr>
            </w:pPr>
            <w:hyperlink r:id="rId12" w:history="1">
              <w:r w:rsidRPr="00AE5C4D">
                <w:rPr>
                  <w:rStyle w:val="Hipercze"/>
                  <w:rFonts w:ascii="Times New Roman" w:eastAsia="Times New Roman" w:hAnsi="Times New Roman" w:cs="Times New Roman"/>
                  <w:color w:val="auto"/>
                  <w:sz w:val="20"/>
                  <w:szCs w:val="20"/>
                  <w:u w:val="none"/>
                  <w:lang w:eastAsia="pl-PL"/>
                </w:rPr>
                <w:t>https://bip.warszawa.rdos-gov.pl/zarzadzenia</w:t>
              </w:r>
            </w:hyperlink>
            <w:r w:rsidRPr="00AE5C4D">
              <w:rPr>
                <w:rFonts w:ascii="Times New Roman" w:eastAsia="Times New Roman" w:hAnsi="Times New Roman" w:cs="Times New Roman"/>
                <w:sz w:val="20"/>
                <w:szCs w:val="20"/>
                <w:lang w:eastAsia="pl-PL"/>
              </w:rPr>
              <w:t xml:space="preserve"> </w:t>
            </w:r>
          </w:p>
          <w:p w14:paraId="4FD78D5E" w14:textId="77777777" w:rsidR="00FF1415" w:rsidRPr="00AE5C4D" w:rsidRDefault="00FF1415" w:rsidP="00FF1415">
            <w:pPr>
              <w:spacing w:beforeLines="60" w:before="144" w:afterLines="60" w:after="144" w:line="240" w:lineRule="auto"/>
              <w:rPr>
                <w:rFonts w:ascii="Times New Roman" w:eastAsia="Times New Roman" w:hAnsi="Times New Roman" w:cs="Times New Roman"/>
                <w:sz w:val="20"/>
                <w:szCs w:val="20"/>
                <w:lang w:eastAsia="pl-PL"/>
              </w:rPr>
            </w:pPr>
            <w:hyperlink r:id="rId13" w:history="1">
              <w:r w:rsidRPr="00AE5C4D">
                <w:rPr>
                  <w:rStyle w:val="Hipercze"/>
                  <w:rFonts w:ascii="Times New Roman" w:eastAsia="Times New Roman" w:hAnsi="Times New Roman" w:cs="Times New Roman"/>
                  <w:color w:val="auto"/>
                  <w:sz w:val="20"/>
                  <w:szCs w:val="20"/>
                  <w:u w:val="none"/>
                  <w:lang w:eastAsia="pl-PL"/>
                </w:rPr>
                <w:t>https://www.prezydent.pl/aktualnośći/polityka-historyczna/pomniki-historii/obiekty-wpisane-na-liste-pomnikow-historii</w:t>
              </w:r>
            </w:hyperlink>
          </w:p>
          <w:p w14:paraId="3B8F2726" w14:textId="112B19C6" w:rsidR="00FF1415" w:rsidRPr="00AE5C4D" w:rsidRDefault="00FF1415" w:rsidP="00802166">
            <w:pPr>
              <w:spacing w:beforeLines="60" w:before="144" w:afterLines="60" w:after="144" w:line="240" w:lineRule="auto"/>
              <w:rPr>
                <w:rFonts w:ascii="Times New Roman" w:eastAsia="Times New Roman" w:hAnsi="Times New Roman" w:cs="Times New Roman"/>
                <w:sz w:val="20"/>
                <w:szCs w:val="20"/>
                <w:lang w:eastAsia="pl-PL"/>
              </w:rPr>
            </w:pPr>
            <w:hyperlink r:id="rId14" w:history="1">
              <w:r w:rsidRPr="00AE5C4D">
                <w:rPr>
                  <w:rStyle w:val="Hipercze"/>
                  <w:rFonts w:ascii="Times New Roman" w:eastAsia="Times New Roman" w:hAnsi="Times New Roman" w:cs="Times New Roman"/>
                  <w:color w:val="auto"/>
                  <w:sz w:val="20"/>
                  <w:szCs w:val="20"/>
                  <w:u w:val="none"/>
                  <w:lang w:eastAsia="pl-PL"/>
                </w:rPr>
                <w:t>https://nid.pl/pomniki-historii/</w:t>
              </w:r>
            </w:hyperlink>
          </w:p>
          <w:p w14:paraId="29451354" w14:textId="2FC398F7" w:rsidR="002B5B53" w:rsidRPr="002B5B53" w:rsidRDefault="00D6706C" w:rsidP="00802166">
            <w:pPr>
              <w:spacing w:beforeLines="60" w:before="144" w:afterLines="60" w:after="144" w:line="240" w:lineRule="auto"/>
              <w:rPr>
                <w:rFonts w:ascii="Times New Roman" w:eastAsia="Times New Roman" w:hAnsi="Times New Roman" w:cs="Times New Roman"/>
                <w:sz w:val="20"/>
                <w:szCs w:val="20"/>
                <w:vertAlign w:val="superscript"/>
                <w:lang w:eastAsia="pl-PL"/>
              </w:rPr>
            </w:pPr>
            <w:r w:rsidRPr="00DD7B98">
              <w:rPr>
                <w:rFonts w:ascii="Times New Roman" w:eastAsia="Times New Roman" w:hAnsi="Times New Roman" w:cs="Times New Roman"/>
                <w:sz w:val="20"/>
                <w:szCs w:val="20"/>
                <w:lang w:eastAsia="pl-PL"/>
              </w:rPr>
              <w:lastRenderedPageBreak/>
              <w:t>Inne</w:t>
            </w:r>
            <w:r w:rsidRPr="00DD7B98">
              <w:rPr>
                <w:rFonts w:ascii="Times New Roman" w:eastAsia="Times New Roman" w:hAnsi="Times New Roman" w:cs="Times New Roman"/>
                <w:sz w:val="20"/>
                <w:szCs w:val="20"/>
                <w:vertAlign w:val="superscript"/>
                <w:lang w:eastAsia="pl-PL"/>
              </w:rPr>
              <w:footnoteReference w:customMarkFollows="1" w:id="4"/>
              <w:t>4)</w:t>
            </w:r>
          </w:p>
        </w:tc>
        <w:tc>
          <w:tcPr>
            <w:tcW w:w="3419" w:type="dxa"/>
            <w:vMerge/>
          </w:tcPr>
          <w:p w14:paraId="5A033B2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CED460E" w14:textId="77777777" w:rsidTr="00A1703E">
        <w:trPr>
          <w:trHeight w:val="60"/>
        </w:trPr>
        <w:tc>
          <w:tcPr>
            <w:tcW w:w="2810" w:type="dxa"/>
            <w:vMerge w:val="restart"/>
            <w:shd w:val="clear" w:color="auto" w:fill="F3F3F3"/>
          </w:tcPr>
          <w:p w14:paraId="20683C24" w14:textId="0A6A1C37"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Ustalenia obowiązującego miejscowego planu zagospodarowania przestrzennego dla terenu objętego przedsięwzięciem</w:t>
            </w:r>
            <w:r w:rsidR="006C5700">
              <w:rPr>
                <w:rFonts w:ascii="Times New Roman" w:hAnsi="Times New Roman" w:cs="Times New Roman"/>
                <w:sz w:val="20"/>
                <w:szCs w:val="20"/>
              </w:rPr>
              <w:t xml:space="preserve"> </w:t>
            </w:r>
            <w:r w:rsidRPr="00DD7B98">
              <w:rPr>
                <w:rFonts w:ascii="Times New Roman" w:hAnsi="Times New Roman" w:cs="Times New Roman"/>
                <w:sz w:val="20"/>
                <w:szCs w:val="20"/>
              </w:rPr>
              <w:t>deweloperskim lub zadaniem inwestycyjnym</w:t>
            </w:r>
          </w:p>
        </w:tc>
        <w:tc>
          <w:tcPr>
            <w:tcW w:w="3419" w:type="dxa"/>
          </w:tcPr>
          <w:p w14:paraId="59D7EA3F" w14:textId="470675C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Przeznaczenie terenu</w:t>
            </w:r>
          </w:p>
        </w:tc>
        <w:tc>
          <w:tcPr>
            <w:tcW w:w="3419" w:type="dxa"/>
          </w:tcPr>
          <w:p w14:paraId="4B42636E" w14:textId="071CFD49" w:rsidR="00802166" w:rsidRPr="00433049" w:rsidRDefault="00433049" w:rsidP="00A612DC">
            <w:pPr>
              <w:pStyle w:val="Standard"/>
              <w:widowControl w:val="0"/>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4B8AC600" w14:textId="77777777" w:rsidTr="00A1703E">
        <w:trPr>
          <w:trHeight w:val="51"/>
        </w:trPr>
        <w:tc>
          <w:tcPr>
            <w:tcW w:w="2810" w:type="dxa"/>
            <w:vMerge/>
            <w:shd w:val="clear" w:color="auto" w:fill="F3F3F3"/>
          </w:tcPr>
          <w:p w14:paraId="45A571C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70AF8AB" w14:textId="645073A9"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Maksymalna intensywność zabudowy</w:t>
            </w:r>
          </w:p>
        </w:tc>
        <w:tc>
          <w:tcPr>
            <w:tcW w:w="3419" w:type="dxa"/>
          </w:tcPr>
          <w:p w14:paraId="7AF2B15A" w14:textId="573F922E" w:rsidR="001714E8" w:rsidRPr="00FE1541" w:rsidRDefault="00433049" w:rsidP="00D6663B">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0E3F3E7D" w14:textId="77777777" w:rsidTr="00A1703E">
        <w:trPr>
          <w:trHeight w:val="51"/>
        </w:trPr>
        <w:tc>
          <w:tcPr>
            <w:tcW w:w="2810" w:type="dxa"/>
            <w:vMerge/>
            <w:shd w:val="clear" w:color="auto" w:fill="F3F3F3"/>
          </w:tcPr>
          <w:p w14:paraId="25DAD50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72B3E04" w14:textId="7EB43A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Maksymalna i minimalna nadziemna intensywność zabudowy</w:t>
            </w:r>
          </w:p>
        </w:tc>
        <w:tc>
          <w:tcPr>
            <w:tcW w:w="3419" w:type="dxa"/>
          </w:tcPr>
          <w:p w14:paraId="30F6FC71" w14:textId="3CF93D9C" w:rsidR="009A45B4" w:rsidRPr="00FE1541" w:rsidRDefault="00433049" w:rsidP="00D6663B">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6DD4CD82" w14:textId="77777777" w:rsidTr="00A1703E">
        <w:trPr>
          <w:trHeight w:val="51"/>
        </w:trPr>
        <w:tc>
          <w:tcPr>
            <w:tcW w:w="2810" w:type="dxa"/>
            <w:vMerge/>
            <w:shd w:val="clear" w:color="auto" w:fill="F3F3F3"/>
          </w:tcPr>
          <w:p w14:paraId="2B4D07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518DA95" w14:textId="77777777" w:rsidR="00D6706C" w:rsidRPr="00BD64C8" w:rsidRDefault="00D6706C" w:rsidP="00BD64C8">
            <w:pPr>
              <w:spacing w:before="240"/>
              <w:rPr>
                <w:rFonts w:ascii="Times New Roman" w:eastAsia="Times New Roman" w:hAnsi="Times New Roman" w:cs="Times New Roman"/>
                <w:sz w:val="20"/>
                <w:szCs w:val="20"/>
              </w:rPr>
            </w:pPr>
            <w:r w:rsidRPr="00BD64C8">
              <w:rPr>
                <w:rFonts w:ascii="Times New Roman" w:hAnsi="Times New Roman" w:cs="Times New Roman"/>
                <w:sz w:val="20"/>
                <w:szCs w:val="20"/>
              </w:rPr>
              <w:t>Maksymalna powierzchnia zabudowy</w:t>
            </w:r>
          </w:p>
        </w:tc>
        <w:tc>
          <w:tcPr>
            <w:tcW w:w="3419" w:type="dxa"/>
          </w:tcPr>
          <w:p w14:paraId="6586576D" w14:textId="3E06BA19" w:rsidR="009A45B4" w:rsidRPr="00A612DC" w:rsidRDefault="00433049" w:rsidP="00A612DC">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6C898C27" w14:textId="77777777" w:rsidTr="00A1703E">
        <w:trPr>
          <w:trHeight w:val="51"/>
        </w:trPr>
        <w:tc>
          <w:tcPr>
            <w:tcW w:w="2810" w:type="dxa"/>
            <w:vMerge/>
            <w:shd w:val="clear" w:color="auto" w:fill="F3F3F3"/>
          </w:tcPr>
          <w:p w14:paraId="17DCD70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0E332468" w14:textId="03DAB2F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5B0867F8" w14:textId="54DAAE81" w:rsidR="009A45B4" w:rsidRPr="00A612DC" w:rsidRDefault="00433049" w:rsidP="00A612DC">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5E9502AC" w14:textId="77777777" w:rsidTr="00A1703E">
        <w:trPr>
          <w:trHeight w:val="51"/>
        </w:trPr>
        <w:tc>
          <w:tcPr>
            <w:tcW w:w="2810" w:type="dxa"/>
            <w:vMerge/>
            <w:shd w:val="clear" w:color="auto" w:fill="F3F3F3"/>
          </w:tcPr>
          <w:p w14:paraId="73D2A6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3396AE2" w14:textId="3004A6AF"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7CC64D6B" w14:textId="21BDF497" w:rsidR="009A45B4" w:rsidRPr="00FE1541" w:rsidRDefault="00433049" w:rsidP="00FE1541">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1803B071" w14:textId="77777777" w:rsidTr="00A1703E">
        <w:trPr>
          <w:trHeight w:val="51"/>
        </w:trPr>
        <w:tc>
          <w:tcPr>
            <w:tcW w:w="2810" w:type="dxa"/>
            <w:vMerge/>
            <w:shd w:val="clear" w:color="auto" w:fill="F3F3F3"/>
          </w:tcPr>
          <w:p w14:paraId="1594639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8BE63C9" w14:textId="639D1AB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tcPr>
          <w:p w14:paraId="3B07097C" w14:textId="7E563389" w:rsidR="00FC41B9" w:rsidRPr="00764DEA" w:rsidRDefault="00433049" w:rsidP="00764DEA">
            <w:pPr>
              <w:spacing w:beforeLines="60" w:before="144" w:afterLines="60" w:after="144" w:line="240" w:lineRule="auto"/>
              <w:rPr>
                <w:rFonts w:ascii="Times New Roman" w:eastAsia="Times New Roman" w:hAnsi="Times New Roman" w:cs="Times New Roman"/>
                <w:sz w:val="20"/>
                <w:szCs w:val="20"/>
              </w:rPr>
            </w:pPr>
            <w:r w:rsidRPr="00433049">
              <w:rPr>
                <w:rFonts w:ascii="Times New Roman" w:eastAsia="Times New Roman" w:hAnsi="Times New Roman" w:cs="Times New Roman"/>
                <w:sz w:val="20"/>
                <w:szCs w:val="20"/>
                <w:lang w:eastAsia="pl-PL"/>
              </w:rPr>
              <w:t>Brak planu.</w:t>
            </w:r>
          </w:p>
        </w:tc>
      </w:tr>
      <w:tr w:rsidR="00DF3A2D" w:rsidRPr="00DD7B98" w14:paraId="3DB3CD0C" w14:textId="77777777" w:rsidTr="00A1703E">
        <w:trPr>
          <w:trHeight w:val="51"/>
        </w:trPr>
        <w:tc>
          <w:tcPr>
            <w:tcW w:w="2810" w:type="dxa"/>
            <w:vMerge/>
            <w:shd w:val="clear" w:color="auto" w:fill="F3F3F3"/>
          </w:tcPr>
          <w:p w14:paraId="6094A316"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415A22" w14:textId="6414386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032BADB6" w14:textId="53E18B11" w:rsidR="00D6663B" w:rsidRPr="00DD7B98" w:rsidRDefault="00433049" w:rsidP="00371D0F">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0CD11FEC" w14:textId="77777777" w:rsidTr="00A1703E">
        <w:trPr>
          <w:trHeight w:val="51"/>
        </w:trPr>
        <w:tc>
          <w:tcPr>
            <w:tcW w:w="2810" w:type="dxa"/>
            <w:vMerge/>
            <w:shd w:val="clear" w:color="auto" w:fill="F3F3F3"/>
          </w:tcPr>
          <w:p w14:paraId="35CE2C7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8C9950" w14:textId="583074B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49E261DC" w14:textId="4E4AB2F1" w:rsidR="00FC41B9" w:rsidRPr="00DD7B98" w:rsidRDefault="00433049" w:rsidP="001D2E01">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23B27866" w14:textId="77777777" w:rsidTr="00A1703E">
        <w:trPr>
          <w:trHeight w:val="51"/>
        </w:trPr>
        <w:tc>
          <w:tcPr>
            <w:tcW w:w="2810" w:type="dxa"/>
            <w:vMerge/>
            <w:shd w:val="clear" w:color="auto" w:fill="F3F3F3"/>
          </w:tcPr>
          <w:p w14:paraId="4DC262E5"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558D3F1" w14:textId="5EB899AD"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BC79BD8" w14:textId="2EB31313" w:rsidR="009A45B4" w:rsidRPr="00DD7B98" w:rsidRDefault="00433049" w:rsidP="00764DEA">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6BDE24D6" w14:textId="77777777" w:rsidTr="00A1703E">
        <w:trPr>
          <w:trHeight w:val="51"/>
        </w:trPr>
        <w:tc>
          <w:tcPr>
            <w:tcW w:w="2810" w:type="dxa"/>
            <w:vMerge/>
            <w:shd w:val="clear" w:color="auto" w:fill="F3F3F3"/>
          </w:tcPr>
          <w:p w14:paraId="10C1AD1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11ACCA8" w14:textId="668E83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2C2A3FCB" w14:textId="51937810" w:rsidR="00FC41B9" w:rsidRPr="00DD7B98" w:rsidRDefault="00433049" w:rsidP="009A6D51">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355DBAB6" w14:textId="77777777" w:rsidTr="00A1703E">
        <w:trPr>
          <w:trHeight w:val="51"/>
        </w:trPr>
        <w:tc>
          <w:tcPr>
            <w:tcW w:w="2810" w:type="dxa"/>
            <w:vMerge/>
            <w:shd w:val="clear" w:color="auto" w:fill="F3F3F3"/>
          </w:tcPr>
          <w:p w14:paraId="44381AA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7627A1D" w14:textId="467E1F91"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komunikacji</w:t>
            </w:r>
          </w:p>
        </w:tc>
        <w:tc>
          <w:tcPr>
            <w:tcW w:w="3419" w:type="dxa"/>
          </w:tcPr>
          <w:p w14:paraId="57F38C64" w14:textId="2B282847" w:rsidR="00DE1526" w:rsidRPr="00DD7B98" w:rsidRDefault="00433049" w:rsidP="00764DEA">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3B01F8DF" w14:textId="77777777" w:rsidTr="00A1703E">
        <w:trPr>
          <w:trHeight w:val="51"/>
        </w:trPr>
        <w:tc>
          <w:tcPr>
            <w:tcW w:w="2810" w:type="dxa"/>
            <w:vMerge/>
            <w:shd w:val="clear" w:color="auto" w:fill="F3F3F3"/>
          </w:tcPr>
          <w:p w14:paraId="67D09E8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95F572C" w14:textId="5B8271F3"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69A0058E" w14:textId="4ACA3D62" w:rsidR="004B41AC" w:rsidRPr="00DD7B98" w:rsidRDefault="00433049" w:rsidP="004B41AC">
            <w:pPr>
              <w:spacing w:before="144" w:after="144"/>
              <w:rPr>
                <w:rFonts w:ascii="Times New Roman" w:eastAsia="Times New Roman" w:hAnsi="Times New Roman" w:cs="Times New Roman"/>
                <w:sz w:val="20"/>
                <w:szCs w:val="20"/>
                <w:lang w:eastAsia="pl-PL"/>
              </w:rPr>
            </w:pPr>
            <w:r w:rsidRPr="00433049">
              <w:rPr>
                <w:rFonts w:ascii="Times New Roman" w:eastAsia="Times New Roman" w:hAnsi="Times New Roman" w:cs="Times New Roman"/>
                <w:sz w:val="20"/>
                <w:szCs w:val="20"/>
                <w:lang w:eastAsia="pl-PL"/>
              </w:rPr>
              <w:t>Brak planu.</w:t>
            </w:r>
          </w:p>
        </w:tc>
      </w:tr>
      <w:tr w:rsidR="00DF3A2D" w:rsidRPr="00DD7B98" w14:paraId="31A1E9DF" w14:textId="77777777" w:rsidTr="00B16B69">
        <w:trPr>
          <w:trHeight w:val="288"/>
        </w:trPr>
        <w:tc>
          <w:tcPr>
            <w:tcW w:w="2810" w:type="dxa"/>
            <w:vMerge w:val="restart"/>
            <w:shd w:val="clear" w:color="auto" w:fill="F3F3F3"/>
          </w:tcPr>
          <w:p w14:paraId="2650F0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00502F5D" w:rsidRPr="00DD7B98">
              <w:rPr>
                <w:rStyle w:val="IGindeksgrny"/>
                <w:rFonts w:ascii="Times New Roman" w:hAnsi="Times New Roman" w:cs="Times New Roman"/>
                <w:sz w:val="20"/>
                <w:szCs w:val="20"/>
              </w:rPr>
              <w:footnoteReference w:id="5"/>
            </w:r>
            <w:r w:rsidR="00502F5D" w:rsidRPr="00DD7B98">
              <w:rPr>
                <w:rStyle w:val="IGindeksgrny"/>
                <w:rFonts w:ascii="Times New Roman" w:hAnsi="Times New Roman" w:cs="Times New Roman"/>
                <w:sz w:val="20"/>
                <w:szCs w:val="20"/>
              </w:rPr>
              <w:t>)</w:t>
            </w:r>
          </w:p>
        </w:tc>
        <w:tc>
          <w:tcPr>
            <w:tcW w:w="3419" w:type="dxa"/>
          </w:tcPr>
          <w:p w14:paraId="0A1611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34DBF">
              <w:rPr>
                <w:rFonts w:ascii="Times New Roman" w:eastAsia="Times New Roman" w:hAnsi="Times New Roman" w:cs="Times New Roman"/>
                <w:sz w:val="20"/>
                <w:szCs w:val="20"/>
                <w:lang w:eastAsia="pl-PL"/>
              </w:rPr>
              <w:t>Przeznaczenie terenu</w:t>
            </w:r>
          </w:p>
        </w:tc>
        <w:tc>
          <w:tcPr>
            <w:tcW w:w="3419" w:type="dxa"/>
          </w:tcPr>
          <w:p w14:paraId="01AE53E9" w14:textId="77777777" w:rsidR="0017212D" w:rsidRPr="00FF1415" w:rsidRDefault="009B7116" w:rsidP="00D950BE">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59DF7CB5" w14:textId="28249EAA" w:rsidR="00964B16" w:rsidRPr="00FF1415" w:rsidRDefault="00964B16"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w:t>
            </w:r>
          </w:p>
          <w:p w14:paraId="6DC0200A" w14:textId="77777777" w:rsidR="00964B16" w:rsidRPr="00FF1415" w:rsidRDefault="00964B16"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a) przeznaczenie podstawowe: zabudowa mieszkaniowa jednorodzinna i usługi,</w:t>
            </w:r>
          </w:p>
          <w:p w14:paraId="7E9A1C3C" w14:textId="77777777" w:rsidR="00964B16" w:rsidRPr="00FF1415" w:rsidRDefault="00964B16"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 przeznaczenie towarzyszące: urządzenia budowlane, garaże, budynki gospodarcze, zieleń urządzona, dojazdy,</w:t>
            </w:r>
          </w:p>
          <w:p w14:paraId="6A407564" w14:textId="793A2CB2" w:rsidR="00964B16" w:rsidRPr="00FF1415" w:rsidRDefault="00964B16"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c) przeznaczenie dopuszczalne: infrastruktura techniczna;</w:t>
            </w:r>
          </w:p>
          <w:p w14:paraId="43050673" w14:textId="77777777" w:rsidR="00084D69" w:rsidRPr="00FF1415" w:rsidRDefault="00084D69" w:rsidP="00084D69">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32D53F6C"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w:t>
            </w:r>
          </w:p>
          <w:p w14:paraId="39EEDD50"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a) przeznaczenie podstawowe: zabudowa mieszkaniowa jednorodzinna,</w:t>
            </w:r>
          </w:p>
          <w:p w14:paraId="1BAD200E"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 przeznaczenie towarzyszące: urządzenia budowlane, garaże, budynki gospodarcze, zieleń urządzona, dojazdy,</w:t>
            </w:r>
          </w:p>
          <w:p w14:paraId="0FD03EC7" w14:textId="66DD170A" w:rsidR="00084D69" w:rsidRPr="00FF1415" w:rsidRDefault="00084D69"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c) przeznaczenie dopuszczalne: usługi, infrastruktura techniczna.</w:t>
            </w:r>
          </w:p>
          <w:p w14:paraId="2B7EF9F6" w14:textId="77777777" w:rsidR="00084D69" w:rsidRPr="00FF1415" w:rsidRDefault="00084D69" w:rsidP="00084D69">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41480C23"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w:t>
            </w:r>
          </w:p>
          <w:p w14:paraId="04067648"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a) przeznaczenie podstawowe: drogi publiczne klasy dojazdowej,</w:t>
            </w:r>
          </w:p>
          <w:p w14:paraId="06F45A49"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 przeznaczenie towarzyszące: chodniki, zieleń urządzona, rowy,</w:t>
            </w:r>
          </w:p>
          <w:p w14:paraId="739B6502" w14:textId="0B782D2C" w:rsidR="00084D69" w:rsidRPr="00FF1415" w:rsidRDefault="00084D69" w:rsidP="00964B1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c) przeznaczenie dopuszczalne: infrastruktura techniczna nie związana z drogą.</w:t>
            </w:r>
          </w:p>
          <w:p w14:paraId="2CA94E19" w14:textId="77777777" w:rsidR="009B7116" w:rsidRPr="00FF1415" w:rsidRDefault="009B7116" w:rsidP="00D950BE">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77CF0DAF" w14:textId="77777777" w:rsidR="008D32FF" w:rsidRPr="00FF1415" w:rsidRDefault="008D32FF" w:rsidP="008D32FF">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w:t>
            </w:r>
          </w:p>
          <w:p w14:paraId="5D4CE31D" w14:textId="77777777" w:rsidR="008D32FF" w:rsidRPr="00FF1415" w:rsidRDefault="008D32FF" w:rsidP="008D32FF">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a) przeznaczenie podstawowe: drogi publiczne klasy dojazdowej,</w:t>
            </w:r>
          </w:p>
          <w:p w14:paraId="69B1C924" w14:textId="77777777" w:rsidR="008D32FF" w:rsidRPr="00FF1415" w:rsidRDefault="008D32FF" w:rsidP="008D32FF">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 przeznaczenie towarzyszące: chodniki, zieleń urządzona, rowy,</w:t>
            </w:r>
          </w:p>
          <w:p w14:paraId="46569ACA" w14:textId="77777777" w:rsidR="008D32FF" w:rsidRPr="00FF1415" w:rsidRDefault="008D32FF" w:rsidP="008D32FF">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xml:space="preserve">c) przeznaczenie dopuszczalne: infrastruktura techniczna nie związana </w:t>
            </w:r>
            <w:r w:rsidRPr="00FF1415">
              <w:rPr>
                <w:rFonts w:ascii="Times New Roman" w:eastAsia="Times New Roman" w:hAnsi="Times New Roman" w:cs="Times New Roman"/>
                <w:sz w:val="20"/>
                <w:szCs w:val="20"/>
                <w:lang w:eastAsia="pl-PL"/>
              </w:rPr>
              <w:lastRenderedPageBreak/>
              <w:t>z drogą.</w:t>
            </w:r>
          </w:p>
          <w:p w14:paraId="2A165944" w14:textId="77777777" w:rsidR="00FF5772" w:rsidRPr="00FF1415" w:rsidRDefault="00FF5772" w:rsidP="008D32FF">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02A10F23" w14:textId="77777777" w:rsidR="00084D69" w:rsidRPr="00FF1415" w:rsidRDefault="00084D69" w:rsidP="00084D69">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77CE6B2F"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 las.</w:t>
            </w:r>
          </w:p>
          <w:p w14:paraId="2AF4E5F3" w14:textId="77777777" w:rsidR="00084D69" w:rsidRPr="00FF1415" w:rsidRDefault="00084D69" w:rsidP="00084D69">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1026568D"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1) przeznaczenie terenu:</w:t>
            </w:r>
          </w:p>
          <w:p w14:paraId="29D30656"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a) podstawowe: zabudowa mieszkaniowa jednorodzinna,</w:t>
            </w:r>
          </w:p>
          <w:p w14:paraId="1FA6E40A" w14:textId="77777777" w:rsidR="00084D69"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 dopuszczalne:</w:t>
            </w:r>
          </w:p>
          <w:p w14:paraId="12D7EC75" w14:textId="77777777" w:rsidR="00FF5772" w:rsidRPr="00FF1415" w:rsidRDefault="00084D69" w:rsidP="00084D69">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usługi nieuciążliwe wbudowane i wolnostojące, garaże, miejsca parkingowe, obiekty małej architektury, zieleń urządzona, sieci infrastruktury technicznej.</w:t>
            </w:r>
          </w:p>
          <w:p w14:paraId="4266B0E4"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0B9D6E6C" w14:textId="789CF676" w:rsidR="00FF1415" w:rsidRPr="00FF1415" w:rsidRDefault="00FF1415" w:rsidP="00FF1415">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przeznaczenie terenu: obsługa komunikacji drogowej, drogi wewnętrzne.</w:t>
            </w:r>
          </w:p>
        </w:tc>
      </w:tr>
      <w:tr w:rsidR="00DF3A2D" w:rsidRPr="00DD7B98" w14:paraId="33481CC9" w14:textId="77777777" w:rsidTr="00B16B69">
        <w:trPr>
          <w:trHeight w:val="288"/>
        </w:trPr>
        <w:tc>
          <w:tcPr>
            <w:tcW w:w="2810" w:type="dxa"/>
            <w:vMerge/>
            <w:shd w:val="clear" w:color="auto" w:fill="F3F3F3"/>
          </w:tcPr>
          <w:p w14:paraId="2B95D22D"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DACCAB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intensywność zabudowy</w:t>
            </w:r>
          </w:p>
        </w:tc>
        <w:tc>
          <w:tcPr>
            <w:tcW w:w="3419" w:type="dxa"/>
          </w:tcPr>
          <w:p w14:paraId="23A87F9B"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123422EC"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intensywność zabudowy: 1,2 dla wszystkich kondygnacji, a 1,0 tylko dla kondygnacji nadziemnych.</w:t>
            </w:r>
          </w:p>
          <w:p w14:paraId="752C6164"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42A1393B"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intensywność zabudowy: 1,2 dla wszystkich kondygnacji, a 1,0 tylko dla kondygnacji nadziemnych.</w:t>
            </w:r>
          </w:p>
          <w:p w14:paraId="3E1D68AC"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094558F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4472C456"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01E2F176"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7A55E3A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4C0B68D1"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6CC1011A"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19FEE286"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 xml:space="preserve">C2-33-MN - zabudowa mieszkaniowa </w:t>
            </w:r>
            <w:r w:rsidRPr="00FF1415">
              <w:rPr>
                <w:rFonts w:ascii="Times New Roman" w:eastAsia="Times New Roman" w:hAnsi="Times New Roman" w:cs="Times New Roman"/>
                <w:b/>
                <w:bCs/>
                <w:sz w:val="20"/>
                <w:szCs w:val="20"/>
                <w:lang w:eastAsia="pl-PL"/>
              </w:rPr>
              <w:lastRenderedPageBreak/>
              <w:t>jednorodzinna</w:t>
            </w:r>
          </w:p>
          <w:p w14:paraId="79701028"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5B28B854"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58EA6596" w14:textId="44345AA3"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DF3A2D" w:rsidRPr="00DD7B98" w14:paraId="6012EE54" w14:textId="77777777" w:rsidTr="00B16B69">
        <w:trPr>
          <w:trHeight w:val="288"/>
        </w:trPr>
        <w:tc>
          <w:tcPr>
            <w:tcW w:w="2810" w:type="dxa"/>
            <w:vMerge/>
            <w:shd w:val="clear" w:color="auto" w:fill="F3F3F3"/>
          </w:tcPr>
          <w:p w14:paraId="70851712"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CD2F564"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 minimalna nadziemna intensywność zabudowy</w:t>
            </w:r>
          </w:p>
        </w:tc>
        <w:tc>
          <w:tcPr>
            <w:tcW w:w="3419" w:type="dxa"/>
          </w:tcPr>
          <w:p w14:paraId="228C4117"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79A9CA3F"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minimalna intensywność zabudowy: 0,1,</w:t>
            </w:r>
          </w:p>
          <w:p w14:paraId="01C0CA40"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intensywność zabudowy: 1,2 dla wszystkich kondygnacji, a 1,0 tylko dla kondygnacji nadziemnych.</w:t>
            </w:r>
          </w:p>
          <w:p w14:paraId="5C1BBA5C"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2EC955B5"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minimalna intensywność zabudowy: 0,1,</w:t>
            </w:r>
          </w:p>
          <w:p w14:paraId="7CE9DC03"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intensywność zabudowy: 1,2 dla wszystkich kondygnacji, a 1,0 tylko dla kondygnacji nadziemnych.</w:t>
            </w:r>
          </w:p>
          <w:p w14:paraId="32AA686F"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4E75423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037A144C" w14:textId="77777777" w:rsidR="003265D6" w:rsidRPr="00FF1415" w:rsidRDefault="003265D6" w:rsidP="003265D6">
            <w:pPr>
              <w:spacing w:before="240"/>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7D6952B1"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4C963B26"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3A67FB8B"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4229DC10"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13BA6AD6"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05AC8241"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460D9B81"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041CCDE1" w14:textId="13137DEE"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DF3A2D" w:rsidRPr="00DD7B98" w14:paraId="72C45369" w14:textId="77777777" w:rsidTr="00B16B69">
        <w:trPr>
          <w:trHeight w:val="288"/>
        </w:trPr>
        <w:tc>
          <w:tcPr>
            <w:tcW w:w="2810" w:type="dxa"/>
            <w:vMerge/>
            <w:shd w:val="clear" w:color="auto" w:fill="F3F3F3"/>
          </w:tcPr>
          <w:p w14:paraId="514DF23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6512E4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BD64C8">
              <w:rPr>
                <w:rFonts w:ascii="Times New Roman" w:eastAsia="Times New Roman" w:hAnsi="Times New Roman" w:cs="Times New Roman"/>
                <w:sz w:val="20"/>
                <w:szCs w:val="20"/>
                <w:lang w:eastAsia="pl-PL"/>
              </w:rPr>
              <w:t>Maksymalna powierzchnia zabudowy</w:t>
            </w:r>
          </w:p>
        </w:tc>
        <w:tc>
          <w:tcPr>
            <w:tcW w:w="3419" w:type="dxa"/>
          </w:tcPr>
          <w:p w14:paraId="30B8657E"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 xml:space="preserve">5MN-U - teren zabudowy mieszkaniowej jednorodzinnej i </w:t>
            </w:r>
            <w:r w:rsidRPr="00FF1415">
              <w:rPr>
                <w:rFonts w:ascii="Times New Roman" w:eastAsia="Times New Roman" w:hAnsi="Times New Roman" w:cs="Times New Roman"/>
                <w:b/>
                <w:bCs/>
                <w:sz w:val="20"/>
                <w:szCs w:val="20"/>
                <w:lang w:eastAsia="pl-PL"/>
              </w:rPr>
              <w:lastRenderedPageBreak/>
              <w:t>usług</w:t>
            </w:r>
          </w:p>
          <w:p w14:paraId="2D1A7023"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6A4CAEA0"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1AD42E02"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58F5BC32"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6641B03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011216F6"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2E077AD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700048AB"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55F0C729"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11155BDF"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014A5D6C"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1CEE9C5A"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Powierzchnia  zabudowy budynków - nie więcej niż 40% powierzchni działki budowlanej.</w:t>
            </w:r>
          </w:p>
          <w:p w14:paraId="78D356A3"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Powierzchnia zabudowana - nie więcej niż 50% powierzchni działki budowlanej.</w:t>
            </w:r>
          </w:p>
          <w:p w14:paraId="5EAF92C4"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6369F40C" w14:textId="109E443F" w:rsidR="00FF1415" w:rsidRPr="00FF1415" w:rsidRDefault="00FF1415" w:rsidP="00FF1415">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CC5FC4" w:rsidRPr="00DD7B98" w14:paraId="11E02B7C" w14:textId="77777777" w:rsidTr="00B16B69">
        <w:trPr>
          <w:trHeight w:val="288"/>
        </w:trPr>
        <w:tc>
          <w:tcPr>
            <w:tcW w:w="2810" w:type="dxa"/>
            <w:vMerge/>
            <w:shd w:val="clear" w:color="auto" w:fill="F3F3F3"/>
          </w:tcPr>
          <w:p w14:paraId="70C0E84A"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39C568B"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0F57B69D"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33056E9E"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wysokość zabudowy 12 m, przy czym: 12 m dla budynków mieszkalnych i usługowych; 6,5 m dla budynków gospodarczych i garaży</w:t>
            </w:r>
          </w:p>
          <w:p w14:paraId="7271651C"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0340C87B"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maksymalna wysokość zabudowy 12 m, przy czym: 12 m dla budynków mieszkalnych; 6,5 m dla budynków usługowych, gospodarczych i garaży.</w:t>
            </w:r>
          </w:p>
          <w:p w14:paraId="6757B9F9"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 xml:space="preserve">6KD-D - teren drogi publicznej klasy </w:t>
            </w:r>
            <w:r w:rsidRPr="00FF1415">
              <w:rPr>
                <w:rFonts w:ascii="Times New Roman" w:eastAsia="Times New Roman" w:hAnsi="Times New Roman" w:cs="Times New Roman"/>
                <w:b/>
                <w:bCs/>
                <w:sz w:val="20"/>
                <w:szCs w:val="20"/>
                <w:lang w:eastAsia="pl-PL"/>
              </w:rPr>
              <w:lastRenderedPageBreak/>
              <w:t>dojazdowej</w:t>
            </w:r>
          </w:p>
          <w:p w14:paraId="2B867481"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60304AAF" w14:textId="77777777" w:rsidR="003265D6" w:rsidRPr="00FF1415" w:rsidRDefault="003265D6" w:rsidP="003265D6">
            <w:pPr>
              <w:spacing w:beforeLines="60" w:before="144" w:afterLines="60" w:after="144" w:line="240" w:lineRule="auto"/>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37AE02E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29B21DE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3131F36C"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64543B2B"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75DF3B65"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0FF69B43"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Maksymalna wysokość zabudowy -  nie więcej niż dwie kondygnacje nadziemne z dopuszczeniem realizacji trzeciej kondygnacji w bryle dachu, nie więcej niż 12m.</w:t>
            </w:r>
          </w:p>
          <w:p w14:paraId="0CA2690F"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Wysokość ściany elewacji - nie więcej niż 7m.</w:t>
            </w:r>
          </w:p>
          <w:p w14:paraId="4DA511A1"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0FB0EF7C" w14:textId="50A23BA2" w:rsidR="00FF1415" w:rsidRPr="00FF1415" w:rsidRDefault="00FF1415" w:rsidP="00FF1415">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DF3A2D" w:rsidRPr="00DD7B98" w14:paraId="2AF0E2B2" w14:textId="77777777" w:rsidTr="00B16B69">
        <w:trPr>
          <w:trHeight w:val="288"/>
        </w:trPr>
        <w:tc>
          <w:tcPr>
            <w:tcW w:w="2810" w:type="dxa"/>
            <w:vMerge/>
            <w:shd w:val="clear" w:color="auto" w:fill="F3F3F3"/>
          </w:tcPr>
          <w:p w14:paraId="5FF0F9C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AAC31C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5C5151CB"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36BBCF49"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minimalny udział procentowy powierzchni biologicznie czynnej: 30%</w:t>
            </w:r>
          </w:p>
          <w:p w14:paraId="5E0BE4A1"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094EEEC6"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 minimalny udział procentowy powierzchni biologicznie czynnej:</w:t>
            </w:r>
            <w:r w:rsidRPr="00FF1415">
              <w:rPr>
                <w:rFonts w:ascii="Times New Roman" w:eastAsia="Times New Roman" w:hAnsi="Times New Roman" w:cs="Times New Roman"/>
                <w:b/>
                <w:bCs/>
                <w:sz w:val="20"/>
                <w:szCs w:val="20"/>
                <w:lang w:eastAsia="pl-PL"/>
              </w:rPr>
              <w:t xml:space="preserve"> </w:t>
            </w:r>
            <w:r w:rsidRPr="00FF1415">
              <w:rPr>
                <w:rFonts w:ascii="Times New Roman" w:eastAsia="Times New Roman" w:hAnsi="Times New Roman" w:cs="Times New Roman"/>
                <w:sz w:val="20"/>
                <w:szCs w:val="20"/>
                <w:lang w:eastAsia="pl-PL"/>
              </w:rPr>
              <w:t>50%.</w:t>
            </w:r>
          </w:p>
          <w:p w14:paraId="342AE631"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6CCDAB7B"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ustala się minimalny udział procentowy powierzchni biologicznie czynnej – 0,1%.</w:t>
            </w:r>
          </w:p>
          <w:p w14:paraId="29388B0A" w14:textId="77777777" w:rsidR="003265D6" w:rsidRPr="00FF1415" w:rsidRDefault="003265D6" w:rsidP="003265D6">
            <w:pPr>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793AD41F" w14:textId="77777777" w:rsidR="003265D6" w:rsidRPr="00FF1415" w:rsidRDefault="003265D6" w:rsidP="003265D6">
            <w:pPr>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ustala się minimalny udział procentowy powierzchni biologicznie czynnej – 0,1%.</w:t>
            </w:r>
          </w:p>
          <w:p w14:paraId="60E8B321"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5A2CDB38"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lastRenderedPageBreak/>
              <w:t>C2-32-ZL – las</w:t>
            </w:r>
          </w:p>
          <w:p w14:paraId="05E2D235"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529DF31A"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5DD6C663"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Nakazuje się utrzymanie minimalnego udziału powierzchni biologicznie czynnej działek budowlanych, co najmniej 50% powierzchni działki.</w:t>
            </w:r>
          </w:p>
          <w:p w14:paraId="40CD0E38"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7AFF3067" w14:textId="15A74C05" w:rsidR="00FF1415" w:rsidRPr="00FF1415" w:rsidRDefault="00FF1415" w:rsidP="00FF1415">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DF3A2D" w:rsidRPr="00DD7B98" w14:paraId="541C1673" w14:textId="77777777" w:rsidTr="00B16B69">
        <w:trPr>
          <w:trHeight w:val="288"/>
        </w:trPr>
        <w:tc>
          <w:tcPr>
            <w:tcW w:w="2810" w:type="dxa"/>
            <w:vMerge/>
            <w:shd w:val="clear" w:color="auto" w:fill="F3F3F3"/>
          </w:tcPr>
          <w:p w14:paraId="7635832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DF4793A"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6331FA">
              <w:rPr>
                <w:rFonts w:ascii="Times New Roman" w:eastAsia="Times New Roman" w:hAnsi="Times New Roman" w:cs="Times New Roman"/>
                <w:sz w:val="20"/>
                <w:szCs w:val="20"/>
                <w:lang w:eastAsia="pl-PL"/>
              </w:rPr>
              <w:t>Minimalna liczba miejsc do parkowania</w:t>
            </w:r>
          </w:p>
        </w:tc>
        <w:tc>
          <w:tcPr>
            <w:tcW w:w="3419" w:type="dxa"/>
          </w:tcPr>
          <w:p w14:paraId="10DCA424"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5MN-U - teren zabudowy mieszkaniowej jednorodzinnej i usług</w:t>
            </w:r>
          </w:p>
          <w:p w14:paraId="7B91B8D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Nakazuje się realizację miejsc do parkowania według minimalnego wskaźnika:</w:t>
            </w:r>
          </w:p>
          <w:p w14:paraId="206D000D"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- 1 miejsce do parkowania na 1 mieszkanie do 60 m 2 powierzchni użytkowej mieszkania,</w:t>
            </w:r>
          </w:p>
          <w:p w14:paraId="10A7B496"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- 2 miejsca do parkowania na 1 mieszkanie powyżej 60 m 2 powierzchni użytkowej mieszkania,</w:t>
            </w:r>
          </w:p>
          <w:p w14:paraId="0CC7AB5F"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- 3 miejsca do parkowania na 100 m 2 powierzchni użytkowej dla handlu i usług,</w:t>
            </w:r>
          </w:p>
          <w:p w14:paraId="63061CEC"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dla urządzeń infrastruktury technicznej odpowiednio według potrzeb.</w:t>
            </w:r>
          </w:p>
          <w:p w14:paraId="7C907986"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Ustala się realizację miejsc przeznaczonych do parkowania pojazdów zaopatrzonych w kartę parkingową w liczbie przewidzianej w przepisach odrębnych.</w:t>
            </w:r>
          </w:p>
          <w:p w14:paraId="4D930A2E"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Dopuszcza się realizację miejsc do parkowania w garażach z zachowaniem wjazdu do garażu podziemnego w obrysie budynku.</w:t>
            </w:r>
          </w:p>
          <w:p w14:paraId="1CFA7455"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6MN/U - teren zabudowy mieszkaniowej jednorodzinnej z dopuszczeniem usług</w:t>
            </w:r>
          </w:p>
          <w:p w14:paraId="4F4DB0C0"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Nakazuje się realizację miejsc do parkowania według minimalnego wskaźnika określonego na:</w:t>
            </w:r>
          </w:p>
          <w:p w14:paraId="7282A7B7"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- 1 miejsce do parkowania na 1 mieszkanie do 60 m 2 powierzchni</w:t>
            </w:r>
            <w:r w:rsidRPr="00FF1415">
              <w:rPr>
                <w:rFonts w:ascii="Times New Roman" w:eastAsia="Times New Roman" w:hAnsi="Times New Roman" w:cs="Times New Roman"/>
                <w:b/>
                <w:bCs/>
                <w:sz w:val="20"/>
                <w:szCs w:val="20"/>
                <w:lang w:eastAsia="pl-PL"/>
              </w:rPr>
              <w:t xml:space="preserve"> </w:t>
            </w:r>
            <w:r w:rsidRPr="00FF1415">
              <w:rPr>
                <w:rFonts w:ascii="Times New Roman" w:eastAsia="Times New Roman" w:hAnsi="Times New Roman" w:cs="Times New Roman"/>
                <w:sz w:val="20"/>
                <w:szCs w:val="20"/>
                <w:lang w:eastAsia="pl-PL"/>
              </w:rPr>
              <w:t>użytkowej mieszkania,</w:t>
            </w:r>
          </w:p>
          <w:p w14:paraId="1968FBE3"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lastRenderedPageBreak/>
              <w:t>- 2 miejsca do parkowania na 1 mieszkanie powyżej 60 m 2 powierzchni użytkowej mieszkania,</w:t>
            </w:r>
          </w:p>
          <w:p w14:paraId="6B93F639"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- 3 miejsca do parkowania na 100 m 2 powierzchni użytkowej dla handlu i usług,</w:t>
            </w:r>
          </w:p>
          <w:p w14:paraId="2659E2D8"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 dla urządzeń infrastruktury technicznej odpowiednio według potrzeb.</w:t>
            </w:r>
          </w:p>
          <w:p w14:paraId="61602EF1"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Ustala się realizację miejsc przeznaczonych do parkowania pojazdów zaopatrzonych w kartę parkingową w liczbie przewidzianej w przepisach odrębnych,</w:t>
            </w:r>
          </w:p>
          <w:p w14:paraId="41F5AF6A"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Dopuszcza się realizację miejsc do parkowania w garażach z zachowaniem wjazdu do garażu podziemnego w obrysie budynków.</w:t>
            </w:r>
          </w:p>
          <w:p w14:paraId="09574383"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6KD-D - teren drogi publicznej klasy dojazdowej</w:t>
            </w:r>
          </w:p>
          <w:p w14:paraId="73C5AF6F"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01E83408" w14:textId="77777777" w:rsidR="003265D6" w:rsidRPr="00FF1415" w:rsidRDefault="003265D6" w:rsidP="003265D6">
            <w:pPr>
              <w:spacing w:before="240"/>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5KD-D - teren drogi publicznej klasy dojazdowej</w:t>
            </w:r>
          </w:p>
          <w:p w14:paraId="4420D060"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39E6D8EE" w14:textId="77777777" w:rsidR="003265D6"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w:t>
            </w:r>
          </w:p>
          <w:p w14:paraId="681CFC13"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C2-32-ZL – las</w:t>
            </w:r>
          </w:p>
          <w:p w14:paraId="3AFF4808"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p w14:paraId="1DBEBE88" w14:textId="77777777" w:rsidR="003265D6" w:rsidRPr="00FF1415" w:rsidRDefault="003265D6" w:rsidP="003265D6">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C2-33-MN - zabudowa mieszkaniowa jednorodzinna</w:t>
            </w:r>
          </w:p>
          <w:p w14:paraId="17332075" w14:textId="77777777" w:rsidR="00FF5772" w:rsidRPr="00FF1415" w:rsidRDefault="003265D6" w:rsidP="003265D6">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Plan nakazuje zapewnienie miejsc parkingowych dla pojazdów użytkowników w obrębie posesji przy zachowaniu wskaźnika: co najmniej 2 miejsca postojowe na lokal mieszkalny oraz 3 miejsca postojowe na 100 m 2 pow. usługowej.</w:t>
            </w:r>
          </w:p>
          <w:p w14:paraId="1F70DEAE" w14:textId="77777777" w:rsidR="00FF1415" w:rsidRPr="00FF1415" w:rsidRDefault="00FF1415" w:rsidP="00FF1415">
            <w:pPr>
              <w:pStyle w:val="Standard"/>
              <w:widowControl w:val="0"/>
              <w:spacing w:before="144" w:after="144"/>
              <w:rPr>
                <w:rFonts w:ascii="Times New Roman" w:eastAsia="Times New Roman" w:hAnsi="Times New Roman" w:cs="Times New Roman"/>
                <w:b/>
                <w:bCs/>
                <w:sz w:val="20"/>
                <w:szCs w:val="20"/>
                <w:lang w:eastAsia="pl-PL"/>
              </w:rPr>
            </w:pPr>
            <w:r w:rsidRPr="00FF1415">
              <w:rPr>
                <w:rFonts w:ascii="Times New Roman" w:eastAsia="Times New Roman" w:hAnsi="Times New Roman" w:cs="Times New Roman"/>
                <w:b/>
                <w:bCs/>
                <w:sz w:val="20"/>
                <w:szCs w:val="20"/>
                <w:lang w:eastAsia="pl-PL"/>
              </w:rPr>
              <w:t>C2-35-KD-W - obsługa komunikacji drogowej, drogi wewnętrzne</w:t>
            </w:r>
          </w:p>
          <w:p w14:paraId="26DBAA2C" w14:textId="481B7933" w:rsidR="00FF1415" w:rsidRPr="00FF1415" w:rsidRDefault="00FF1415" w:rsidP="00FF1415">
            <w:pPr>
              <w:pStyle w:val="Standard"/>
              <w:widowControl w:val="0"/>
              <w:spacing w:before="144" w:after="144"/>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Brak postanowień Planu w tym zakresie dla przedmiotowego terenu.</w:t>
            </w:r>
          </w:p>
        </w:tc>
      </w:tr>
      <w:tr w:rsidR="00F7371C" w:rsidRPr="00AE5C4D" w14:paraId="65884B4D" w14:textId="77777777" w:rsidTr="00FC41B9">
        <w:trPr>
          <w:trHeight w:val="1408"/>
        </w:trPr>
        <w:tc>
          <w:tcPr>
            <w:tcW w:w="2810" w:type="dxa"/>
            <w:vMerge w:val="restart"/>
            <w:shd w:val="clear" w:color="auto" w:fill="F3F3F3"/>
          </w:tcPr>
          <w:p w14:paraId="1145473D" w14:textId="467CE875" w:rsidR="00F7371C" w:rsidRPr="00AE5C4D"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lang w:eastAsia="pl-PL"/>
              </w:rPr>
              <w:lastRenderedPageBreak/>
              <w:t xml:space="preserve">Ustalenia decyzji o warunkach zabudowy albo decyzji o ustaleniu lokalizacji inwestycji celu publicznego dla terenu objętego przedsięwzięciem deweloperskim lub zadaniem </w:t>
            </w:r>
            <w:r w:rsidRPr="00AE5C4D">
              <w:rPr>
                <w:rFonts w:ascii="Times New Roman" w:eastAsia="Times New Roman" w:hAnsi="Times New Roman" w:cs="Times New Roman"/>
                <w:sz w:val="20"/>
                <w:szCs w:val="20"/>
                <w:lang w:eastAsia="pl-PL"/>
              </w:rPr>
              <w:lastRenderedPageBreak/>
              <w:t>inwestycyjnym w przypadku braku miejscowego planu zagospodarowania przestrzennego</w:t>
            </w:r>
          </w:p>
        </w:tc>
        <w:tc>
          <w:tcPr>
            <w:tcW w:w="3419" w:type="dxa"/>
          </w:tcPr>
          <w:p w14:paraId="0CBBAE1E" w14:textId="4A47863A" w:rsidR="00D34DBF" w:rsidRPr="00AE5C4D" w:rsidRDefault="00DA46A0" w:rsidP="00D34DBF">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lastRenderedPageBreak/>
              <w:t>Zabudowa mieszkaniowa jednorodzinna.</w:t>
            </w:r>
            <w:r w:rsidR="00AE5C4D" w:rsidRPr="00AE5C4D">
              <w:rPr>
                <w:rFonts w:ascii="Times New Roman" w:eastAsia="Times New Roman" w:hAnsi="Times New Roman" w:cs="Times New Roman"/>
                <w:sz w:val="20"/>
                <w:szCs w:val="20"/>
              </w:rPr>
              <w:t xml:space="preserve"> </w:t>
            </w:r>
          </w:p>
          <w:p w14:paraId="415B1460" w14:textId="5FEC863B" w:rsidR="00AE5C4D" w:rsidRPr="00AE5C4D" w:rsidRDefault="00AE5C4D" w:rsidP="00D34DBF">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Sześć budynków mieszkalnych jednorodzinnych w zabudowie bliźniaczej.</w:t>
            </w:r>
          </w:p>
          <w:p w14:paraId="150FA486" w14:textId="2DEF3D40" w:rsidR="00AE5C4D" w:rsidRPr="00AE5C4D" w:rsidRDefault="00AE5C4D" w:rsidP="00D34DBF">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lastRenderedPageBreak/>
              <w:t>Decyzja Nr 181/I/2022 o warunkach zabudowy z dnia 30.06.2022 r.</w:t>
            </w:r>
          </w:p>
          <w:p w14:paraId="29CABA51" w14:textId="07EF91DE" w:rsidR="00F7371C" w:rsidRPr="00AE5C4D" w:rsidRDefault="00F7371C" w:rsidP="006C5700">
            <w:pPr>
              <w:spacing w:beforeLines="60" w:before="144" w:afterLines="60" w:after="144"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Funkcja zabudowy i zagospodarowania terenu</w:t>
            </w:r>
          </w:p>
        </w:tc>
        <w:tc>
          <w:tcPr>
            <w:tcW w:w="3419" w:type="dxa"/>
          </w:tcPr>
          <w:p w14:paraId="37BBC59E" w14:textId="5E53F116" w:rsidR="00D34DBF" w:rsidRPr="00AE5C4D" w:rsidRDefault="00DA46A0" w:rsidP="00D34DBF">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lastRenderedPageBreak/>
              <w:t>Brak postanowień w tym zakresie.</w:t>
            </w:r>
          </w:p>
          <w:p w14:paraId="615A7005" w14:textId="747B42BA" w:rsidR="00F7371C" w:rsidRPr="00AE5C4D" w:rsidRDefault="00F7371C" w:rsidP="006C5700">
            <w:pPr>
              <w:rPr>
                <w:rFonts w:ascii="Times New Roman" w:hAnsi="Times New Roman" w:cs="Times New Roman"/>
                <w:sz w:val="20"/>
                <w:szCs w:val="20"/>
              </w:rPr>
            </w:pPr>
            <w:r w:rsidRPr="00AE5C4D">
              <w:rPr>
                <w:rFonts w:ascii="Times New Roman" w:hAnsi="Times New Roman" w:cs="Times New Roman"/>
                <w:sz w:val="20"/>
                <w:szCs w:val="20"/>
              </w:rPr>
              <w:t>Sposób użytkowania obiektów budowlanych oraz zagospodarowania terenu</w:t>
            </w:r>
          </w:p>
        </w:tc>
      </w:tr>
      <w:tr w:rsidR="00F7371C" w:rsidRPr="00DD7B98" w14:paraId="2968D058" w14:textId="77777777" w:rsidTr="00B16B69">
        <w:trPr>
          <w:trHeight w:val="181"/>
        </w:trPr>
        <w:tc>
          <w:tcPr>
            <w:tcW w:w="2810" w:type="dxa"/>
            <w:vMerge/>
            <w:shd w:val="clear" w:color="auto" w:fill="F3F3F3"/>
          </w:tcPr>
          <w:p w14:paraId="38BDC0DC"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629C835F" w14:textId="77777777" w:rsidR="00F7371C" w:rsidRPr="00AE5C4D" w:rsidRDefault="00F7371C" w:rsidP="006C5700">
            <w:pPr>
              <w:spacing w:beforeLines="60" w:before="144" w:afterLines="60" w:after="144"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Cechy zabudowy i zagospodarowania terenu:</w:t>
            </w:r>
          </w:p>
        </w:tc>
      </w:tr>
      <w:tr w:rsidR="00F7371C" w:rsidRPr="00DD7B98" w14:paraId="6C31EC7E" w14:textId="77777777" w:rsidTr="00B16B69">
        <w:trPr>
          <w:trHeight w:val="181"/>
        </w:trPr>
        <w:tc>
          <w:tcPr>
            <w:tcW w:w="2810" w:type="dxa"/>
            <w:vMerge/>
            <w:shd w:val="clear" w:color="auto" w:fill="F3F3F3"/>
          </w:tcPr>
          <w:p w14:paraId="350D8AF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399457A" w14:textId="77777777" w:rsidR="00F7371C" w:rsidRPr="00AE5C4D" w:rsidRDefault="00F7371C" w:rsidP="006C5700">
            <w:pPr>
              <w:spacing w:beforeLines="60" w:before="144" w:afterLines="60" w:after="144"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lang w:eastAsia="pl-PL"/>
              </w:rPr>
              <w:t>gabaryty</w:t>
            </w:r>
          </w:p>
        </w:tc>
        <w:tc>
          <w:tcPr>
            <w:tcW w:w="3419" w:type="dxa"/>
          </w:tcPr>
          <w:p w14:paraId="3B6E0DB7" w14:textId="5B8F2B63" w:rsidR="00004A4B" w:rsidRPr="00AE5C4D" w:rsidRDefault="00DA46A0" w:rsidP="00DA46A0">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 xml:space="preserve">Szerokość elewacji frontowej budynku – </w:t>
            </w:r>
            <w:r w:rsidR="00AE5C4D" w:rsidRPr="00AE5C4D">
              <w:rPr>
                <w:rFonts w:ascii="Times New Roman" w:eastAsia="Times New Roman" w:hAnsi="Times New Roman" w:cs="Times New Roman"/>
                <w:sz w:val="20"/>
                <w:szCs w:val="20"/>
              </w:rPr>
              <w:t>12</w:t>
            </w:r>
            <w:r w:rsidRPr="00AE5C4D">
              <w:rPr>
                <w:rFonts w:ascii="Times New Roman" w:eastAsia="Times New Roman" w:hAnsi="Times New Roman" w:cs="Times New Roman"/>
                <w:sz w:val="20"/>
                <w:szCs w:val="20"/>
              </w:rPr>
              <w:t>,0 m z tolerancją do 20%</w:t>
            </w:r>
            <w:r w:rsidR="00004A4B" w:rsidRPr="00AE5C4D">
              <w:rPr>
                <w:rFonts w:ascii="Times New Roman" w:eastAsia="Times New Roman" w:hAnsi="Times New Roman" w:cs="Times New Roman"/>
                <w:sz w:val="20"/>
                <w:szCs w:val="20"/>
              </w:rPr>
              <w:t xml:space="preserve"> dla każdego z </w:t>
            </w:r>
            <w:r w:rsidR="00AE5C4D" w:rsidRPr="00AE5C4D">
              <w:rPr>
                <w:rFonts w:ascii="Times New Roman" w:eastAsia="Times New Roman" w:hAnsi="Times New Roman" w:cs="Times New Roman"/>
                <w:sz w:val="20"/>
                <w:szCs w:val="20"/>
              </w:rPr>
              <w:t>sześciu</w:t>
            </w:r>
            <w:r w:rsidR="00004A4B" w:rsidRPr="00AE5C4D">
              <w:rPr>
                <w:rFonts w:ascii="Times New Roman" w:eastAsia="Times New Roman" w:hAnsi="Times New Roman" w:cs="Times New Roman"/>
                <w:sz w:val="20"/>
                <w:szCs w:val="20"/>
              </w:rPr>
              <w:t xml:space="preserve"> budynków mieszkalnych jednorodzinnych w zabudowie bliźniaczej; za elewację frontową przyjmuje się płaszczyznę budynku, na której znajdują się główne wejścia do lokali usytuowanych w budynku.</w:t>
            </w:r>
          </w:p>
          <w:p w14:paraId="1BC2B0E0" w14:textId="17083AC6" w:rsidR="00004A4B" w:rsidRPr="00AE5C4D" w:rsidRDefault="00DA46A0" w:rsidP="00DA46A0">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 xml:space="preserve">Maksymalna liczba kondygnacji </w:t>
            </w:r>
            <w:r w:rsidR="00004A4B" w:rsidRPr="00AE5C4D">
              <w:rPr>
                <w:rFonts w:ascii="Times New Roman" w:eastAsia="Times New Roman" w:hAnsi="Times New Roman" w:cs="Times New Roman"/>
                <w:sz w:val="20"/>
                <w:szCs w:val="20"/>
              </w:rPr>
              <w:t>każdego budynku wynosi 2.</w:t>
            </w:r>
          </w:p>
          <w:p w14:paraId="7B6577B1" w14:textId="162A9A80" w:rsidR="00DA46A0" w:rsidRPr="00AE5C4D" w:rsidRDefault="00DA46A0" w:rsidP="00DA46A0">
            <w:pPr>
              <w:pStyle w:val="Standard"/>
              <w:widowControl w:val="0"/>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Maksymalną wysokość</w:t>
            </w:r>
            <w:r w:rsidR="00004A4B" w:rsidRPr="00AE5C4D">
              <w:rPr>
                <w:rFonts w:ascii="Times New Roman" w:eastAsia="Times New Roman" w:hAnsi="Times New Roman" w:cs="Times New Roman"/>
                <w:sz w:val="20"/>
                <w:szCs w:val="20"/>
              </w:rPr>
              <w:t xml:space="preserve"> każdego budynku </w:t>
            </w:r>
            <w:r w:rsidRPr="00AE5C4D">
              <w:rPr>
                <w:rFonts w:ascii="Times New Roman" w:eastAsia="Times New Roman" w:hAnsi="Times New Roman" w:cs="Times New Roman"/>
                <w:sz w:val="20"/>
                <w:szCs w:val="20"/>
              </w:rPr>
              <w:t xml:space="preserve">mierzoną od poziomu terenu przy głównym wejściu do budynku do linii kalenicy lub najwyższego punktu pokrycia dachowego ustala się </w:t>
            </w:r>
            <w:r w:rsidR="00004A4B" w:rsidRPr="00AE5C4D">
              <w:rPr>
                <w:rFonts w:ascii="Times New Roman" w:eastAsia="Times New Roman" w:hAnsi="Times New Roman" w:cs="Times New Roman"/>
                <w:sz w:val="20"/>
                <w:szCs w:val="20"/>
              </w:rPr>
              <w:t>od 7,0 m do 9,0 m.</w:t>
            </w:r>
            <w:r w:rsidRPr="00AE5C4D">
              <w:rPr>
                <w:rFonts w:ascii="Times New Roman" w:eastAsia="Times New Roman" w:hAnsi="Times New Roman" w:cs="Times New Roman"/>
                <w:sz w:val="20"/>
                <w:szCs w:val="20"/>
              </w:rPr>
              <w:t xml:space="preserve"> </w:t>
            </w:r>
          </w:p>
          <w:p w14:paraId="0A0B3D0E" w14:textId="3D1F5234" w:rsidR="003265D6" w:rsidRPr="00AE5C4D" w:rsidRDefault="00DA46A0" w:rsidP="00AE5C4D">
            <w:pPr>
              <w:pStyle w:val="Standard"/>
              <w:widowControl w:val="0"/>
              <w:pBdr>
                <w:bottom w:val="single" w:sz="6" w:space="1" w:color="auto"/>
              </w:pBdr>
              <w:spacing w:before="144" w:after="144"/>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Maksymalna wysokość górnej krawędzi elewacji frontowej budynku liczoną od średniego poziomu terenu w obrysie rzutu  do górnej krawędzi  gzymsu lub dolnej krawędzi połaci dachowej ustala się</w:t>
            </w:r>
            <w:r w:rsidR="00004A4B" w:rsidRPr="00AE5C4D">
              <w:rPr>
                <w:rFonts w:ascii="Times New Roman" w:eastAsia="Times New Roman" w:hAnsi="Times New Roman" w:cs="Times New Roman"/>
                <w:sz w:val="20"/>
                <w:szCs w:val="20"/>
              </w:rPr>
              <w:t xml:space="preserve"> od 5,0 m do 7,0 m</w:t>
            </w:r>
            <w:r w:rsidRPr="00AE5C4D">
              <w:rPr>
                <w:rFonts w:ascii="Times New Roman" w:eastAsia="Times New Roman" w:hAnsi="Times New Roman" w:cs="Times New Roman"/>
                <w:sz w:val="20"/>
                <w:szCs w:val="20"/>
              </w:rPr>
              <w:t>; w wysokość elewacji nie wlicza się zbieżnych zwieńczeń ścian szczytowych oraz ścian lukarn i facjatek</w:t>
            </w:r>
            <w:r w:rsidR="00004A4B" w:rsidRPr="00AE5C4D">
              <w:rPr>
                <w:rFonts w:ascii="Times New Roman" w:eastAsia="Times New Roman" w:hAnsi="Times New Roman" w:cs="Times New Roman"/>
                <w:sz w:val="20"/>
                <w:szCs w:val="20"/>
              </w:rPr>
              <w:t xml:space="preserve"> oraz attyk.</w:t>
            </w:r>
          </w:p>
        </w:tc>
      </w:tr>
      <w:tr w:rsidR="00F7371C" w:rsidRPr="00DD7B98" w14:paraId="552B5780" w14:textId="77777777" w:rsidTr="00B16B69">
        <w:trPr>
          <w:trHeight w:val="181"/>
        </w:trPr>
        <w:tc>
          <w:tcPr>
            <w:tcW w:w="2810" w:type="dxa"/>
            <w:vMerge/>
            <w:shd w:val="clear" w:color="auto" w:fill="F3F3F3"/>
          </w:tcPr>
          <w:p w14:paraId="524A96A2"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2819E3E" w14:textId="77777777" w:rsidR="00F7371C" w:rsidRPr="00AE5C4D" w:rsidRDefault="00F7371C" w:rsidP="006C5700">
            <w:pPr>
              <w:spacing w:beforeLines="60" w:before="144" w:afterLines="60" w:after="144"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lang w:eastAsia="pl-PL"/>
              </w:rPr>
              <w:t>forma architektoniczna</w:t>
            </w:r>
          </w:p>
        </w:tc>
        <w:tc>
          <w:tcPr>
            <w:tcW w:w="3419" w:type="dxa"/>
          </w:tcPr>
          <w:p w14:paraId="11A07EC0" w14:textId="4DD6E575" w:rsidR="003265D6" w:rsidRPr="00AE5C4D" w:rsidRDefault="00004A4B" w:rsidP="00AE5C4D">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AE5C4D">
              <w:rPr>
                <w:rFonts w:ascii="Times New Roman" w:eastAsia="Times New Roman" w:hAnsi="Times New Roman" w:cs="Times New Roman"/>
                <w:sz w:val="20"/>
                <w:szCs w:val="20"/>
              </w:rPr>
              <w:t>Zabudowa mieszkaniowa jednorodzinna.</w:t>
            </w:r>
          </w:p>
        </w:tc>
      </w:tr>
      <w:tr w:rsidR="00F7371C" w:rsidRPr="00DD7B98" w14:paraId="66E6B67A" w14:textId="77777777" w:rsidTr="00B16B69">
        <w:trPr>
          <w:trHeight w:val="181"/>
        </w:trPr>
        <w:tc>
          <w:tcPr>
            <w:tcW w:w="2810" w:type="dxa"/>
            <w:vMerge/>
            <w:shd w:val="clear" w:color="auto" w:fill="F3F3F3"/>
          </w:tcPr>
          <w:p w14:paraId="7AC8BBD6"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1DB07FE" w14:textId="77777777" w:rsidR="00F7371C" w:rsidRPr="00FC6283" w:rsidRDefault="00F7371C" w:rsidP="006C5700">
            <w:pPr>
              <w:spacing w:beforeLines="60" w:before="144" w:afterLines="60" w:after="144" w:line="240" w:lineRule="auto"/>
              <w:rPr>
                <w:rFonts w:ascii="Times New Roman" w:eastAsia="Times New Roman" w:hAnsi="Times New Roman" w:cs="Times New Roman"/>
                <w:sz w:val="20"/>
                <w:szCs w:val="20"/>
              </w:rPr>
            </w:pPr>
            <w:r w:rsidRPr="00FC6283">
              <w:rPr>
                <w:rFonts w:ascii="Times New Roman" w:eastAsia="Times New Roman" w:hAnsi="Times New Roman" w:cs="Times New Roman"/>
                <w:sz w:val="20"/>
                <w:szCs w:val="20"/>
                <w:lang w:eastAsia="pl-PL"/>
              </w:rPr>
              <w:t>usytuowanie linii zabudowy</w:t>
            </w:r>
          </w:p>
        </w:tc>
        <w:tc>
          <w:tcPr>
            <w:tcW w:w="3419" w:type="dxa"/>
          </w:tcPr>
          <w:p w14:paraId="4ACE4981" w14:textId="54A5F43D" w:rsidR="003265D6" w:rsidRPr="00FC6283" w:rsidRDefault="00004A4B" w:rsidP="00FC6283">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FC6283">
              <w:rPr>
                <w:rFonts w:ascii="Times New Roman" w:eastAsia="Times New Roman" w:hAnsi="Times New Roman" w:cs="Times New Roman"/>
                <w:sz w:val="20"/>
                <w:szCs w:val="20"/>
              </w:rPr>
              <w:t>Nieprzekraczalna linia zabudowy – nie ustala się.</w:t>
            </w:r>
          </w:p>
        </w:tc>
      </w:tr>
      <w:tr w:rsidR="00F7371C" w:rsidRPr="00DD7B98" w14:paraId="0F3DBF8E" w14:textId="77777777" w:rsidTr="00B16B69">
        <w:trPr>
          <w:trHeight w:val="181"/>
        </w:trPr>
        <w:tc>
          <w:tcPr>
            <w:tcW w:w="2810" w:type="dxa"/>
            <w:vMerge/>
            <w:shd w:val="clear" w:color="auto" w:fill="F3F3F3"/>
          </w:tcPr>
          <w:p w14:paraId="3BF34448"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8F4F73" w14:textId="77777777" w:rsidR="00F7371C" w:rsidRPr="00F11E1F" w:rsidRDefault="00F7371C" w:rsidP="006C5700">
            <w:pP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lang w:eastAsia="pl-PL"/>
              </w:rPr>
              <w:t>intensywność wykorzystania terenu</w:t>
            </w:r>
          </w:p>
        </w:tc>
        <w:tc>
          <w:tcPr>
            <w:tcW w:w="3419" w:type="dxa"/>
          </w:tcPr>
          <w:p w14:paraId="6190B196" w14:textId="117B4F81"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Wielkość powierzchni zabudowy do powierzchni terenu objętego wnioskiem</w:t>
            </w:r>
            <w:r w:rsidR="00047FBC" w:rsidRPr="00F11E1F">
              <w:rPr>
                <w:rFonts w:ascii="Times New Roman" w:eastAsia="Times New Roman" w:hAnsi="Times New Roman" w:cs="Times New Roman"/>
                <w:sz w:val="20"/>
                <w:szCs w:val="20"/>
              </w:rPr>
              <w:t xml:space="preserve"> </w:t>
            </w:r>
            <w:r w:rsidRPr="00F11E1F">
              <w:rPr>
                <w:rFonts w:ascii="Times New Roman" w:eastAsia="Times New Roman" w:hAnsi="Times New Roman" w:cs="Times New Roman"/>
                <w:sz w:val="20"/>
                <w:szCs w:val="20"/>
              </w:rPr>
              <w:t xml:space="preserve">ustalono </w:t>
            </w:r>
            <w:r w:rsidR="00047FBC" w:rsidRPr="00F11E1F">
              <w:rPr>
                <w:rFonts w:ascii="Times New Roman" w:eastAsia="Times New Roman" w:hAnsi="Times New Roman" w:cs="Times New Roman"/>
                <w:sz w:val="20"/>
                <w:szCs w:val="20"/>
              </w:rPr>
              <w:t>na max 4</w:t>
            </w:r>
            <w:r w:rsidR="00F11E1F" w:rsidRPr="00F11E1F">
              <w:rPr>
                <w:rFonts w:ascii="Times New Roman" w:eastAsia="Times New Roman" w:hAnsi="Times New Roman" w:cs="Times New Roman"/>
                <w:sz w:val="20"/>
                <w:szCs w:val="20"/>
              </w:rPr>
              <w:t>2</w:t>
            </w:r>
            <w:r w:rsidRPr="00F11E1F">
              <w:rPr>
                <w:rFonts w:ascii="Times New Roman" w:eastAsia="Times New Roman" w:hAnsi="Times New Roman" w:cs="Times New Roman"/>
                <w:sz w:val="20"/>
                <w:szCs w:val="20"/>
              </w:rPr>
              <w:t>%.</w:t>
            </w:r>
          </w:p>
          <w:p w14:paraId="36D89FD2" w14:textId="587382EA" w:rsidR="00F7371C" w:rsidRPr="00F11E1F" w:rsidRDefault="00D710B6" w:rsidP="00D710B6">
            <w:pP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 xml:space="preserve">Wielkość powierzchni zabudowanej i utwardzonej ustalono na max. </w:t>
            </w:r>
            <w:r w:rsidR="00047FBC" w:rsidRPr="00F11E1F">
              <w:rPr>
                <w:rFonts w:ascii="Times New Roman" w:eastAsia="Times New Roman" w:hAnsi="Times New Roman" w:cs="Times New Roman"/>
                <w:sz w:val="20"/>
                <w:szCs w:val="20"/>
              </w:rPr>
              <w:t>70</w:t>
            </w:r>
            <w:r w:rsidRPr="00F11E1F">
              <w:rPr>
                <w:rFonts w:ascii="Times New Roman" w:eastAsia="Times New Roman" w:hAnsi="Times New Roman" w:cs="Times New Roman"/>
                <w:sz w:val="20"/>
                <w:szCs w:val="20"/>
              </w:rPr>
              <w:t>%.</w:t>
            </w:r>
          </w:p>
          <w:p w14:paraId="5AE7F20D" w14:textId="6DE249D0" w:rsidR="003265D6" w:rsidRPr="00F11E1F" w:rsidRDefault="00D710B6" w:rsidP="00F11E1F">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 xml:space="preserve">Wielkość powierzchni biologicznie czynnej ustalono na min. </w:t>
            </w:r>
            <w:r w:rsidR="00047FBC" w:rsidRPr="00F11E1F">
              <w:rPr>
                <w:rFonts w:ascii="Times New Roman" w:eastAsia="Times New Roman" w:hAnsi="Times New Roman" w:cs="Times New Roman"/>
                <w:sz w:val="20"/>
                <w:szCs w:val="20"/>
              </w:rPr>
              <w:t>30</w:t>
            </w:r>
            <w:r w:rsidRPr="00F11E1F">
              <w:rPr>
                <w:rFonts w:ascii="Times New Roman" w:eastAsia="Times New Roman" w:hAnsi="Times New Roman" w:cs="Times New Roman"/>
                <w:sz w:val="20"/>
                <w:szCs w:val="20"/>
              </w:rPr>
              <w:t>% powierzchni terenu objętego wnioskiem.</w:t>
            </w:r>
          </w:p>
        </w:tc>
      </w:tr>
      <w:tr w:rsidR="00F7371C" w:rsidRPr="00DD7B98" w14:paraId="1B8F3E8B" w14:textId="77777777" w:rsidTr="00B16B69">
        <w:trPr>
          <w:trHeight w:val="181"/>
        </w:trPr>
        <w:tc>
          <w:tcPr>
            <w:tcW w:w="2810" w:type="dxa"/>
            <w:vMerge/>
            <w:shd w:val="clear" w:color="auto" w:fill="F3F3F3"/>
          </w:tcPr>
          <w:p w14:paraId="4EEA747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382D6D2" w14:textId="77777777" w:rsidR="00F7371C" w:rsidRPr="00F11E1F" w:rsidRDefault="00F7371C" w:rsidP="006C5700">
            <w:pP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250310E4"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 xml:space="preserve">Ustalenia wynikające z potrzeb ochrony środowiska zgodnie z ustawą z </w:t>
            </w:r>
            <w:r w:rsidRPr="00F11E1F">
              <w:rPr>
                <w:rFonts w:ascii="Times New Roman" w:eastAsia="Times New Roman" w:hAnsi="Times New Roman" w:cs="Times New Roman"/>
                <w:sz w:val="20"/>
                <w:szCs w:val="20"/>
              </w:rPr>
              <w:lastRenderedPageBreak/>
              <w:t>dnia 27 kwietnia 2001 r. Prawo ochrony środowiska.</w:t>
            </w:r>
          </w:p>
          <w:p w14:paraId="01ABB99F"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Inwestycja nie jest zaliczana do przedsięwzięć wymagających przeprowadzenia postępowania w sprawie oceny oddziaływania na środowisko w rozumieniu przepisów o ochronie środowiska.</w:t>
            </w:r>
          </w:p>
          <w:p w14:paraId="33FCC47B"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Ustalenia wynikające z przepisów o ochronie przyrody – nie dotyczy.</w:t>
            </w:r>
          </w:p>
          <w:p w14:paraId="030A739D"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Ustalenia wynikające z przepisów o ochronie zabytków i opiece nad zabytkami – nie dotyczy.</w:t>
            </w:r>
          </w:p>
          <w:p w14:paraId="4C65A805" w14:textId="72EBAF11" w:rsidR="00047FBC"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Zachowanie wartościowego drzewostanu.</w:t>
            </w:r>
          </w:p>
          <w:p w14:paraId="3DB07F65"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W sprawie ewentualnej wycinki drzew należy postępować zgodnie z ustaleniami zawartymi w Rozdziale 4, Ustawy o ochronie przyrody.</w:t>
            </w:r>
          </w:p>
          <w:p w14:paraId="37142587" w14:textId="77777777" w:rsidR="00D710B6" w:rsidRPr="00F11E1F" w:rsidRDefault="00D710B6" w:rsidP="00D710B6">
            <w:pPr>
              <w:pStyle w:val="Standard"/>
              <w:widowControl w:val="0"/>
              <w:spacing w:before="144" w:after="144"/>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Przy wykonywaniu planowanej inwestycji należy przestrzegać zapisów ustawy z dnia 20.07.2017 r. Prawo wodne.</w:t>
            </w:r>
          </w:p>
          <w:p w14:paraId="1D77E4BF" w14:textId="564D7F31" w:rsidR="003265D6" w:rsidRPr="00F11E1F" w:rsidRDefault="00D710B6" w:rsidP="00F11E1F">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Inwestycję należy projektować w sposób zapewniający harmonijne wkomponowanie w otoczenie i dostosowanie do charakteru istniejącej w otoczeniu zabudowy.</w:t>
            </w:r>
          </w:p>
        </w:tc>
      </w:tr>
      <w:tr w:rsidR="00F7371C" w:rsidRPr="00DD7B98" w14:paraId="697FCCB9" w14:textId="77777777" w:rsidTr="00B16B69">
        <w:trPr>
          <w:trHeight w:val="181"/>
        </w:trPr>
        <w:tc>
          <w:tcPr>
            <w:tcW w:w="2810" w:type="dxa"/>
            <w:vMerge/>
            <w:shd w:val="clear" w:color="auto" w:fill="F3F3F3"/>
          </w:tcPr>
          <w:p w14:paraId="615F151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7B8EED8" w14:textId="3A7FD6BC" w:rsidR="00F7371C" w:rsidRPr="00F11E1F" w:rsidRDefault="00F7371C" w:rsidP="006C5700">
            <w:pP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lang w:eastAsia="pl-PL"/>
              </w:rPr>
              <w:t>wymagania dotyczące zabudowy i</w:t>
            </w:r>
            <w:r w:rsidR="00273AB4" w:rsidRPr="00F11E1F">
              <w:rPr>
                <w:rFonts w:ascii="Times New Roman" w:eastAsia="Times New Roman" w:hAnsi="Times New Roman" w:cs="Times New Roman"/>
                <w:sz w:val="20"/>
                <w:szCs w:val="20"/>
                <w:lang w:eastAsia="pl-PL"/>
              </w:rPr>
              <w:t> </w:t>
            </w:r>
            <w:r w:rsidRPr="00F11E1F">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2CAFA5FE" w14:textId="2939D01D" w:rsidR="003265D6" w:rsidRPr="00F11E1F" w:rsidRDefault="00D34DBF" w:rsidP="00F11E1F">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F11E1F">
              <w:rPr>
                <w:rFonts w:ascii="Times New Roman" w:eastAsia="Times New Roman" w:hAnsi="Times New Roman" w:cs="Times New Roman"/>
                <w:sz w:val="20"/>
                <w:szCs w:val="20"/>
              </w:rPr>
              <w:t>Nie dotyczy.</w:t>
            </w:r>
          </w:p>
        </w:tc>
      </w:tr>
      <w:tr w:rsidR="00F7371C" w:rsidRPr="00DD7B98" w14:paraId="645D5586" w14:textId="77777777" w:rsidTr="00B16B69">
        <w:trPr>
          <w:trHeight w:val="181"/>
        </w:trPr>
        <w:tc>
          <w:tcPr>
            <w:tcW w:w="2810" w:type="dxa"/>
            <w:vMerge/>
            <w:shd w:val="clear" w:color="auto" w:fill="F3F3F3"/>
          </w:tcPr>
          <w:p w14:paraId="66DDD20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6CF94A2" w14:textId="77777777" w:rsidR="00F7371C" w:rsidRPr="00DD0A98" w:rsidRDefault="00F7371C"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4486043C" w14:textId="2EC3E211" w:rsidR="003265D6" w:rsidRPr="00DD0A98" w:rsidRDefault="004827D1" w:rsidP="00F11E1F">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Ustalenia wynikające z przepisów o ochronie zabytków i opiece nad zabytkami – nie dotyczy.</w:t>
            </w:r>
          </w:p>
        </w:tc>
      </w:tr>
      <w:tr w:rsidR="00F7371C" w:rsidRPr="00DD7B98" w14:paraId="12BF906E" w14:textId="77777777" w:rsidTr="00B16B69">
        <w:trPr>
          <w:trHeight w:val="181"/>
        </w:trPr>
        <w:tc>
          <w:tcPr>
            <w:tcW w:w="2810" w:type="dxa"/>
            <w:vMerge/>
            <w:shd w:val="clear" w:color="auto" w:fill="F3F3F3"/>
          </w:tcPr>
          <w:p w14:paraId="6BA6ECD0"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DD7E06B" w14:textId="77777777" w:rsidR="00F7371C" w:rsidRPr="00DD0A98" w:rsidRDefault="00F7371C"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5DC9689F" w14:textId="391141B0" w:rsidR="003265D6" w:rsidRPr="00DD0A98" w:rsidRDefault="00D34DBF" w:rsidP="00F11E1F">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Nie dotyczy.</w:t>
            </w:r>
          </w:p>
        </w:tc>
      </w:tr>
      <w:tr w:rsidR="00F7371C" w:rsidRPr="00DD7B98" w14:paraId="2C217587" w14:textId="77777777" w:rsidTr="00B16B69">
        <w:trPr>
          <w:trHeight w:val="181"/>
        </w:trPr>
        <w:tc>
          <w:tcPr>
            <w:tcW w:w="2810" w:type="dxa"/>
            <w:vMerge/>
            <w:shd w:val="clear" w:color="auto" w:fill="F3F3F3"/>
          </w:tcPr>
          <w:p w14:paraId="5A14785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E58A9A5" w14:textId="09FDBB99" w:rsidR="00F7371C" w:rsidRPr="00DD0A98" w:rsidRDefault="00F7371C"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lang w:eastAsia="pl-PL"/>
              </w:rPr>
              <w:t>warunki i szczegółowe zasady obsługi w</w:t>
            </w:r>
            <w:r w:rsidR="00273AB4" w:rsidRPr="00DD0A98">
              <w:rPr>
                <w:rFonts w:ascii="Times New Roman" w:eastAsia="Times New Roman" w:hAnsi="Times New Roman" w:cs="Times New Roman"/>
                <w:sz w:val="20"/>
                <w:szCs w:val="20"/>
                <w:lang w:eastAsia="pl-PL"/>
              </w:rPr>
              <w:t> </w:t>
            </w:r>
            <w:r w:rsidRPr="00DD0A98">
              <w:rPr>
                <w:rFonts w:ascii="Times New Roman" w:eastAsia="Times New Roman" w:hAnsi="Times New Roman" w:cs="Times New Roman"/>
                <w:sz w:val="20"/>
                <w:szCs w:val="20"/>
                <w:lang w:eastAsia="pl-PL"/>
              </w:rPr>
              <w:t>zakresie komunikacji</w:t>
            </w:r>
          </w:p>
        </w:tc>
        <w:tc>
          <w:tcPr>
            <w:tcW w:w="3419" w:type="dxa"/>
          </w:tcPr>
          <w:p w14:paraId="063DECC4" w14:textId="7ACEC408" w:rsidR="00F11E1F" w:rsidRPr="00DD0A98" w:rsidRDefault="004827D1" w:rsidP="006C5700">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Obsługa komunikacyjna</w:t>
            </w:r>
            <w:r w:rsidR="00047FBC" w:rsidRPr="00DD0A98">
              <w:rPr>
                <w:rFonts w:ascii="Times New Roman" w:eastAsia="Times New Roman" w:hAnsi="Times New Roman" w:cs="Times New Roman"/>
                <w:sz w:val="20"/>
                <w:szCs w:val="20"/>
              </w:rPr>
              <w:t xml:space="preserve"> działki nr 8  obr. 72, istniejącym zjazdem  z drogi powiatowej  nr 1503W </w:t>
            </w:r>
            <w:r w:rsidR="00F11E1F" w:rsidRPr="00DD0A98">
              <w:rPr>
                <w:rFonts w:ascii="Times New Roman" w:eastAsia="Times New Roman" w:hAnsi="Times New Roman" w:cs="Times New Roman"/>
                <w:sz w:val="20"/>
                <w:szCs w:val="20"/>
              </w:rPr>
              <w:t xml:space="preserve">(działka nr ew. 16/1 obr. 72 – ul. Nadarzyńska), dopuszcza się wydzielenie działek pod drogi wewnętrzne dla potrzeb </w:t>
            </w:r>
            <w:r w:rsidR="00DD0A98" w:rsidRPr="00DD0A98">
              <w:rPr>
                <w:rFonts w:ascii="Times New Roman" w:eastAsia="Times New Roman" w:hAnsi="Times New Roman" w:cs="Times New Roman"/>
                <w:sz w:val="20"/>
                <w:szCs w:val="20"/>
              </w:rPr>
              <w:t>obsługi komunikacyjnej.</w:t>
            </w:r>
          </w:p>
          <w:p w14:paraId="0A710034" w14:textId="361D0929" w:rsidR="003265D6" w:rsidRPr="00DD0A98" w:rsidRDefault="00047FBC" w:rsidP="00DD0A98">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Zjazd </w:t>
            </w:r>
            <w:r w:rsidR="00DD0A98" w:rsidRPr="00DD0A98">
              <w:rPr>
                <w:rFonts w:ascii="Times New Roman" w:eastAsia="Times New Roman" w:hAnsi="Times New Roman" w:cs="Times New Roman"/>
                <w:sz w:val="20"/>
                <w:szCs w:val="20"/>
              </w:rPr>
              <w:t xml:space="preserve">z drogi powiatowej </w:t>
            </w:r>
            <w:r w:rsidRPr="00DD0A98">
              <w:rPr>
                <w:rFonts w:ascii="Times New Roman" w:eastAsia="Times New Roman" w:hAnsi="Times New Roman" w:cs="Times New Roman"/>
                <w:sz w:val="20"/>
                <w:szCs w:val="20"/>
              </w:rPr>
              <w:t xml:space="preserve">należy przebudować do parametrów zjazdu publicznego na warunkach uzyskanych od zarządcy drogi, tj. Powiatowy </w:t>
            </w:r>
            <w:r w:rsidRPr="00DD0A98">
              <w:rPr>
                <w:rFonts w:ascii="Times New Roman" w:eastAsia="Times New Roman" w:hAnsi="Times New Roman" w:cs="Times New Roman"/>
                <w:sz w:val="20"/>
                <w:szCs w:val="20"/>
              </w:rPr>
              <w:lastRenderedPageBreak/>
              <w:t xml:space="preserve">Zarząd Dróg w Grodzisku Mazowieckim. Miejsca parkingowe  należy zapewnić wyłącznie w granicach działek nr ew. 8 obr. 72. Zarządca drogi nie ponosi odpowiedzialności za skutki oddziaływania drogi powiatowej w zakresie hałasu oraz drgań na obszary przyległe do pasa drogowego. </w:t>
            </w:r>
          </w:p>
        </w:tc>
      </w:tr>
      <w:tr w:rsidR="00F7371C" w:rsidRPr="00DD7B98" w14:paraId="5E2105E6" w14:textId="77777777" w:rsidTr="00B16B69">
        <w:trPr>
          <w:trHeight w:val="181"/>
        </w:trPr>
        <w:tc>
          <w:tcPr>
            <w:tcW w:w="2810" w:type="dxa"/>
            <w:vMerge/>
            <w:shd w:val="clear" w:color="auto" w:fill="F3F3F3"/>
          </w:tcPr>
          <w:p w14:paraId="1AA67D1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0195B96" w14:textId="6F5BB612" w:rsidR="00F7371C" w:rsidRPr="00DD0A98" w:rsidRDefault="00F7371C"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lang w:eastAsia="pl-PL"/>
              </w:rPr>
              <w:t>warunki i szczegółowe zasady obsługi w</w:t>
            </w:r>
            <w:r w:rsidR="00273AB4" w:rsidRPr="00DD0A98">
              <w:rPr>
                <w:rFonts w:ascii="Times New Roman" w:eastAsia="Times New Roman" w:hAnsi="Times New Roman" w:cs="Times New Roman"/>
                <w:sz w:val="20"/>
                <w:szCs w:val="20"/>
                <w:lang w:eastAsia="pl-PL"/>
              </w:rPr>
              <w:t> </w:t>
            </w:r>
            <w:r w:rsidRPr="00DD0A98">
              <w:rPr>
                <w:rFonts w:ascii="Times New Roman" w:eastAsia="Times New Roman" w:hAnsi="Times New Roman" w:cs="Times New Roman"/>
                <w:sz w:val="20"/>
                <w:szCs w:val="20"/>
                <w:lang w:eastAsia="pl-PL"/>
              </w:rPr>
              <w:t>zakresie infrastruktury technicznej</w:t>
            </w:r>
          </w:p>
        </w:tc>
        <w:tc>
          <w:tcPr>
            <w:tcW w:w="3419" w:type="dxa"/>
          </w:tcPr>
          <w:p w14:paraId="125B680F" w14:textId="7753B691" w:rsidR="004827D1"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Zaopatrzenie w energię elektryczną – </w:t>
            </w:r>
            <w:r w:rsidR="00047FBC" w:rsidRPr="00DD0A98">
              <w:rPr>
                <w:rFonts w:ascii="Times New Roman" w:eastAsia="Times New Roman" w:hAnsi="Times New Roman" w:cs="Times New Roman"/>
                <w:sz w:val="20"/>
                <w:szCs w:val="20"/>
              </w:rPr>
              <w:t>z projektowanych przyłączy na warunkach określonych przez gestora sieci.</w:t>
            </w:r>
          </w:p>
          <w:p w14:paraId="57B3CF14" w14:textId="61F86D1C" w:rsidR="004827D1"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Zaopatrzenie w gaz </w:t>
            </w:r>
            <w:r w:rsidR="00881ABC" w:rsidRPr="00DD0A98">
              <w:rPr>
                <w:rFonts w:ascii="Times New Roman" w:eastAsia="Times New Roman" w:hAnsi="Times New Roman" w:cs="Times New Roman"/>
                <w:sz w:val="20"/>
                <w:szCs w:val="20"/>
              </w:rPr>
              <w:t>– z projektowanych przyłączy na warunkach określonych przez gestora sieci.</w:t>
            </w:r>
          </w:p>
          <w:p w14:paraId="281C24FC" w14:textId="59498169" w:rsidR="004827D1"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Ogrzewanie należy projektować z zastosowaniem urządzeń o możliwie najniższej emisji substancji o negatywnym wpływie na środowisko takich jak: opalanych gazem, lekkimi olejami lub zasilanych energią elektryczną oraz w oparciu o inne ekologiczne czynniki grzewcze typu pellet</w:t>
            </w:r>
            <w:r w:rsidR="00881ABC" w:rsidRPr="00DD0A98">
              <w:rPr>
                <w:rFonts w:ascii="Times New Roman" w:eastAsia="Times New Roman" w:hAnsi="Times New Roman" w:cs="Times New Roman"/>
                <w:sz w:val="20"/>
                <w:szCs w:val="20"/>
              </w:rPr>
              <w:t>, zgodnie z Uchwałą nr 162/17 Sejmiku Województwa Mazowieckiego z dnia 24.10.2027 r.</w:t>
            </w:r>
          </w:p>
          <w:p w14:paraId="79D052C5" w14:textId="6F2967F1" w:rsidR="0032068A"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Zaopatrzenie w wodę – </w:t>
            </w:r>
            <w:r w:rsidR="00881ABC" w:rsidRPr="00DD0A98">
              <w:rPr>
                <w:rFonts w:ascii="Times New Roman" w:eastAsia="Times New Roman" w:hAnsi="Times New Roman" w:cs="Times New Roman"/>
                <w:sz w:val="20"/>
                <w:szCs w:val="20"/>
              </w:rPr>
              <w:t>z</w:t>
            </w:r>
            <w:r w:rsidR="0032068A" w:rsidRPr="00DD0A98">
              <w:rPr>
                <w:rFonts w:ascii="Times New Roman" w:eastAsia="Times New Roman" w:hAnsi="Times New Roman" w:cs="Times New Roman"/>
                <w:sz w:val="20"/>
                <w:szCs w:val="20"/>
              </w:rPr>
              <w:t xml:space="preserve"> gminnej sieci wodociągowej </w:t>
            </w:r>
            <w:r w:rsidR="00881ABC" w:rsidRPr="00DD0A98">
              <w:rPr>
                <w:rFonts w:ascii="Times New Roman" w:eastAsia="Times New Roman" w:hAnsi="Times New Roman" w:cs="Times New Roman"/>
                <w:sz w:val="20"/>
                <w:szCs w:val="20"/>
              </w:rPr>
              <w:t>poprzez projektowaną sieć własną wodociągową, planowaną do włączenia do gminnej sieci wodociągowej, poprzez jej odpłatne przekazanie.</w:t>
            </w:r>
          </w:p>
          <w:p w14:paraId="0AE104BF" w14:textId="757FD027" w:rsidR="00881ABC"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Odprowadzenie ścieków – do </w:t>
            </w:r>
            <w:r w:rsidR="00881ABC" w:rsidRPr="00DD0A98">
              <w:rPr>
                <w:rFonts w:ascii="Times New Roman" w:eastAsia="Times New Roman" w:hAnsi="Times New Roman" w:cs="Times New Roman"/>
                <w:sz w:val="20"/>
                <w:szCs w:val="20"/>
              </w:rPr>
              <w:t>gminnej sieci kanalizacji sanitarnej poprzez projektowaną sieć własną kanalizacji sanitarnej, planowaną do włączenia do gminnej sieci kanalizacji sanitarnej, poprzez jej odpłatne przekazanie.</w:t>
            </w:r>
          </w:p>
          <w:p w14:paraId="0D679373" w14:textId="2C07F187" w:rsidR="004827D1" w:rsidRPr="00DD0A98" w:rsidRDefault="004827D1" w:rsidP="004827D1">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Odprowadzenie wód opadowych i roztopowych. Wody opadowe z połaci dachowych oraz z powierzchni utwardzonych należy zagospodarować zgodnie z przepisami szczególnymi, a w szczególności z ustawą Prawo wodne.</w:t>
            </w:r>
          </w:p>
          <w:p w14:paraId="67DB2B82" w14:textId="63ECCF38" w:rsidR="003265D6" w:rsidRPr="00DD0A98" w:rsidRDefault="004827D1" w:rsidP="00DD0A98">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Odpady należy gromadzić w miejscu lub pomieszczeniu  do tego celu przeznaczonym i wydzielonym zgodnie  z przepisami Rozporządzenia Ministra Infrastruktury z dnia 12 kwietnia 2002 r. w sprawie warunków technicznych jakim powinny odpowiadać budynki i ich usytuowanie w pojemnikach, kontenerach lub workach foliowych; </w:t>
            </w:r>
            <w:r w:rsidRPr="00DD0A98">
              <w:rPr>
                <w:rFonts w:ascii="Times New Roman" w:eastAsia="Times New Roman" w:hAnsi="Times New Roman" w:cs="Times New Roman"/>
                <w:sz w:val="20"/>
                <w:szCs w:val="20"/>
              </w:rPr>
              <w:lastRenderedPageBreak/>
              <w:t>odpady muszą być regularnie wywożone przez zakłady usług porządkowych, posiadających zezwolenie na prowadzenie tych usług.</w:t>
            </w:r>
          </w:p>
        </w:tc>
      </w:tr>
      <w:tr w:rsidR="00F7371C" w:rsidRPr="00DD7B98" w14:paraId="5FD7A64D" w14:textId="77777777" w:rsidTr="00B16B69">
        <w:trPr>
          <w:trHeight w:val="181"/>
        </w:trPr>
        <w:tc>
          <w:tcPr>
            <w:tcW w:w="2810" w:type="dxa"/>
            <w:vMerge/>
            <w:shd w:val="clear" w:color="auto" w:fill="F3F3F3"/>
          </w:tcPr>
          <w:p w14:paraId="33EC30B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71555AA" w14:textId="1E4460A3" w:rsidR="00F7371C" w:rsidRPr="00DD0A98" w:rsidRDefault="00F7371C" w:rsidP="006C5700">
            <w:pPr>
              <w:spacing w:beforeLines="60" w:before="144" w:afterLines="60" w:after="144" w:line="240" w:lineRule="auto"/>
              <w:rPr>
                <w:rFonts w:ascii="Times New Roman" w:eastAsia="Times New Roman" w:hAnsi="Times New Roman" w:cs="Times New Roman"/>
                <w:sz w:val="20"/>
                <w:szCs w:val="20"/>
                <w:lang w:eastAsia="pl-PL"/>
              </w:rPr>
            </w:pPr>
            <w:r w:rsidRPr="00DD0A98">
              <w:rPr>
                <w:rFonts w:ascii="Times New Roman" w:hAnsi="Times New Roman" w:cs="Times New Roman"/>
                <w:sz w:val="20"/>
                <w:szCs w:val="20"/>
              </w:rPr>
              <w:t>minimalny udział procentowy po</w:t>
            </w:r>
            <w:r w:rsidR="00407983" w:rsidRPr="00DD0A98">
              <w:rPr>
                <w:rFonts w:ascii="Times New Roman" w:hAnsi="Times New Roman" w:cs="Times New Roman"/>
                <w:sz w:val="20"/>
                <w:szCs w:val="20"/>
              </w:rPr>
              <w:t>wierzchni biologicznie czynnej</w:t>
            </w:r>
          </w:p>
        </w:tc>
        <w:tc>
          <w:tcPr>
            <w:tcW w:w="3419" w:type="dxa"/>
          </w:tcPr>
          <w:p w14:paraId="5884204A" w14:textId="5852D51C" w:rsidR="003265D6" w:rsidRPr="00DD0A98" w:rsidRDefault="00B73E4B" w:rsidP="00DD0A98">
            <w:pPr>
              <w:pBdr>
                <w:bottom w:val="single" w:sz="6" w:space="1" w:color="auto"/>
              </w:pBd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Wielkość powierzchni biologicznie czynnej  ustalono na min. </w:t>
            </w:r>
            <w:r w:rsidR="00002BAD" w:rsidRPr="00DD0A98">
              <w:rPr>
                <w:rFonts w:ascii="Times New Roman" w:eastAsia="Times New Roman" w:hAnsi="Times New Roman" w:cs="Times New Roman"/>
                <w:sz w:val="20"/>
                <w:szCs w:val="20"/>
              </w:rPr>
              <w:t>30</w:t>
            </w:r>
            <w:r w:rsidRPr="00DD0A98">
              <w:rPr>
                <w:rFonts w:ascii="Times New Roman" w:eastAsia="Times New Roman" w:hAnsi="Times New Roman" w:cs="Times New Roman"/>
                <w:sz w:val="20"/>
                <w:szCs w:val="20"/>
              </w:rPr>
              <w:t>% powierzchni terenu objętego wnioskiem.</w:t>
            </w:r>
          </w:p>
        </w:tc>
      </w:tr>
      <w:tr w:rsidR="00F7371C" w:rsidRPr="00DD7B98" w14:paraId="5B210EE0" w14:textId="77777777" w:rsidTr="00B16B69">
        <w:trPr>
          <w:trHeight w:val="181"/>
        </w:trPr>
        <w:tc>
          <w:tcPr>
            <w:tcW w:w="2810" w:type="dxa"/>
            <w:vMerge/>
            <w:shd w:val="clear" w:color="auto" w:fill="F3F3F3"/>
          </w:tcPr>
          <w:p w14:paraId="6F13B5A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22BE3A3" w14:textId="77777777" w:rsidR="00F7371C" w:rsidRPr="00DD0A98" w:rsidRDefault="00F7371C" w:rsidP="00B73E4B">
            <w:pPr>
              <w:spacing w:before="240"/>
              <w:rPr>
                <w:rFonts w:ascii="Times New Roman" w:hAnsi="Times New Roman" w:cs="Times New Roman"/>
                <w:sz w:val="20"/>
                <w:szCs w:val="20"/>
              </w:rPr>
            </w:pPr>
            <w:r w:rsidRPr="00DD0A98">
              <w:rPr>
                <w:rFonts w:ascii="Times New Roman" w:hAnsi="Times New Roman" w:cs="Times New Roman"/>
                <w:sz w:val="20"/>
                <w:szCs w:val="20"/>
              </w:rPr>
              <w:t>nadziemna intensywność zabudowy</w:t>
            </w:r>
          </w:p>
        </w:tc>
        <w:tc>
          <w:tcPr>
            <w:tcW w:w="3419" w:type="dxa"/>
          </w:tcPr>
          <w:p w14:paraId="48C8D1AF" w14:textId="64DAAC0B" w:rsidR="003265D6" w:rsidRPr="00DD0A98" w:rsidRDefault="00B73E4B" w:rsidP="00DD0A98">
            <w:pPr>
              <w:pStyle w:val="Standard"/>
              <w:widowControl w:val="0"/>
              <w:pBdr>
                <w:bottom w:val="single" w:sz="6" w:space="1" w:color="auto"/>
              </w:pBdr>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Brak postanowień w tym zakresie.</w:t>
            </w:r>
          </w:p>
        </w:tc>
      </w:tr>
      <w:tr w:rsidR="00F7371C" w:rsidRPr="00DD7B98" w14:paraId="7EF2A973" w14:textId="77777777" w:rsidTr="00B16B69">
        <w:trPr>
          <w:trHeight w:val="181"/>
        </w:trPr>
        <w:tc>
          <w:tcPr>
            <w:tcW w:w="2810" w:type="dxa"/>
            <w:vMerge/>
            <w:shd w:val="clear" w:color="auto" w:fill="F3F3F3"/>
          </w:tcPr>
          <w:p w14:paraId="1E447B3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437F700" w14:textId="77777777" w:rsidR="00F7371C" w:rsidRPr="00DD0A98" w:rsidRDefault="00F7371C" w:rsidP="00B73E4B">
            <w:pPr>
              <w:spacing w:before="240"/>
              <w:rPr>
                <w:rFonts w:ascii="Times New Roman" w:hAnsi="Times New Roman" w:cs="Times New Roman"/>
                <w:sz w:val="20"/>
                <w:szCs w:val="20"/>
              </w:rPr>
            </w:pPr>
            <w:r w:rsidRPr="00DD0A98">
              <w:rPr>
                <w:rFonts w:ascii="Times New Roman" w:hAnsi="Times New Roman" w:cs="Times New Roman"/>
                <w:sz w:val="20"/>
                <w:szCs w:val="20"/>
              </w:rPr>
              <w:t>wysokość zabudowy</w:t>
            </w:r>
          </w:p>
        </w:tc>
        <w:tc>
          <w:tcPr>
            <w:tcW w:w="3419" w:type="dxa"/>
          </w:tcPr>
          <w:p w14:paraId="56A9305F" w14:textId="77777777" w:rsidR="00002BAD" w:rsidRPr="00DD0A98" w:rsidRDefault="00002BAD" w:rsidP="00002BAD">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Maksymalna liczba kondygnacji każdego budynku wynosi 2.</w:t>
            </w:r>
          </w:p>
          <w:p w14:paraId="38692E97" w14:textId="77777777" w:rsidR="00DD0A98" w:rsidRPr="00DD0A98" w:rsidRDefault="00DD0A98" w:rsidP="00DD0A98">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Maksymalną wysokość każdego budynku mierzoną od poziomu terenu przy głównym wejściu do budynku do linii kalenicy lub najwyższego punktu pokrycia dachowego ustala się od 7,0 m do 9,0 m. </w:t>
            </w:r>
          </w:p>
          <w:p w14:paraId="320B84CE" w14:textId="4224D906" w:rsidR="003265D6" w:rsidRPr="00DD0A98" w:rsidRDefault="00DD0A98" w:rsidP="00DD0A98">
            <w:pPr>
              <w:pStyle w:val="Standard"/>
              <w:widowControl w:val="0"/>
              <w:pBdr>
                <w:bottom w:val="single" w:sz="6" w:space="1" w:color="auto"/>
              </w:pBdr>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Maksymalna wysokość górnej krawędzi elewacji frontowej budynku liczoną od średniego poziomu terenu w obrysie rzutu  do górnej krawędzi  gzymsu lub dolnej krawędzi połaci dachowej ustala się od 5,0 m do 7,0 m; w wysokość elewacji nie wlicza się zbieżnych zwieńczeń ścian szczytowych oraz ścian lukarn i facjatek oraz attyk.</w:t>
            </w:r>
          </w:p>
        </w:tc>
      </w:tr>
      <w:tr w:rsidR="00DF3A2D" w:rsidRPr="00DD7B98" w14:paraId="3F89F064" w14:textId="77777777" w:rsidTr="00B16B69">
        <w:trPr>
          <w:trHeight w:val="73"/>
        </w:trPr>
        <w:tc>
          <w:tcPr>
            <w:tcW w:w="2810" w:type="dxa"/>
            <w:vMerge w:val="restart"/>
            <w:shd w:val="clear" w:color="auto" w:fill="F3F3F3"/>
          </w:tcPr>
          <w:p w14:paraId="5C19107B" w14:textId="1C9F917E"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 xml:space="preserve">Informacje dotyczące przewidzianych inwestycji w promieniu 1 km od </w:t>
            </w:r>
            <w:r w:rsidR="00CC5FC4" w:rsidRPr="00DD7B98">
              <w:rPr>
                <w:rFonts w:ascii="Times New Roman" w:eastAsia="Times New Roman" w:hAnsi="Times New Roman" w:cs="Times New Roman"/>
                <w:sz w:val="20"/>
                <w:szCs w:val="20"/>
              </w:rPr>
              <w:t xml:space="preserve">terenu objętego przedsięwzięciem deweloperskim lub zadaniem </w:t>
            </w:r>
            <w:r w:rsidR="009327A6" w:rsidRPr="00DD7B98">
              <w:rPr>
                <w:rFonts w:ascii="Times New Roman" w:hAnsi="Times New Roman" w:cs="Times New Roman"/>
                <w:sz w:val="20"/>
                <w:szCs w:val="20"/>
              </w:rPr>
              <w:t>inwestycyjnym</w:t>
            </w:r>
            <w:r w:rsidR="009327A6" w:rsidRPr="00DD7B98">
              <w:rPr>
                <w:rStyle w:val="IGindeksgrny"/>
                <w:rFonts w:ascii="Times New Roman" w:hAnsi="Times New Roman" w:cs="Times New Roman"/>
                <w:sz w:val="20"/>
                <w:szCs w:val="20"/>
              </w:rPr>
              <w:footnoteReference w:id="6"/>
            </w:r>
            <w:r w:rsidR="009327A6" w:rsidRPr="00DD7B98">
              <w:rPr>
                <w:rStyle w:val="IGindeksgrny"/>
                <w:rFonts w:ascii="Times New Roman" w:hAnsi="Times New Roman" w:cs="Times New Roman"/>
                <w:sz w:val="20"/>
                <w:szCs w:val="20"/>
              </w:rPr>
              <w:t>)</w:t>
            </w:r>
            <w:r w:rsidR="009327A6" w:rsidRPr="00DD7B98">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zawarte w:</w:t>
            </w:r>
          </w:p>
        </w:tc>
        <w:tc>
          <w:tcPr>
            <w:tcW w:w="3419" w:type="dxa"/>
          </w:tcPr>
          <w:p w14:paraId="489A2A21" w14:textId="77777777" w:rsidR="00D6706C" w:rsidRPr="004608D9" w:rsidRDefault="00D6706C" w:rsidP="006C5700">
            <w:pPr>
              <w:spacing w:beforeLines="60" w:before="144" w:afterLines="60" w:after="144" w:line="240" w:lineRule="auto"/>
              <w:rPr>
                <w:rFonts w:ascii="Times New Roman" w:eastAsia="Times New Roman" w:hAnsi="Times New Roman" w:cs="Times New Roman"/>
                <w:sz w:val="20"/>
                <w:szCs w:val="20"/>
              </w:rPr>
            </w:pPr>
            <w:r w:rsidRPr="004608D9">
              <w:rPr>
                <w:rFonts w:ascii="Times New Roman" w:eastAsia="Times New Roman" w:hAnsi="Times New Roman" w:cs="Times New Roman"/>
                <w:sz w:val="20"/>
                <w:szCs w:val="20"/>
              </w:rPr>
              <w:t>miejscowych planach zagospodarowania przestrzennego</w:t>
            </w:r>
          </w:p>
        </w:tc>
        <w:tc>
          <w:tcPr>
            <w:tcW w:w="3419" w:type="dxa"/>
          </w:tcPr>
          <w:p w14:paraId="5D4F1FF5" w14:textId="68F88566" w:rsidR="00123F42" w:rsidRPr="00DD7B98" w:rsidRDefault="00123F42" w:rsidP="006C5700">
            <w:pPr>
              <w:spacing w:beforeLines="60" w:before="144" w:afterLines="60" w:after="144" w:line="240" w:lineRule="auto"/>
              <w:rPr>
                <w:rFonts w:ascii="Times New Roman" w:eastAsia="Times New Roman" w:hAnsi="Times New Roman" w:cs="Times New Roman"/>
                <w:sz w:val="20"/>
                <w:szCs w:val="20"/>
                <w:lang w:eastAsia="pl-PL"/>
              </w:rPr>
            </w:pPr>
            <w:r w:rsidRPr="00123F42">
              <w:rPr>
                <w:rFonts w:ascii="Times New Roman" w:eastAsia="Times New Roman" w:hAnsi="Times New Roman" w:cs="Times New Roman"/>
                <w:sz w:val="20"/>
                <w:szCs w:val="20"/>
                <w:lang w:eastAsia="pl-PL"/>
              </w:rPr>
              <w:t>https://voxly.pl/#organization/%2Fapi%2Forganizations%2F8f072065-8cc7-4be0-bb46-44663258fa23/extent/586804.4743356549%2C462445.9286468285%2C621248.3511491546%2C480555.87325267645/module/app</w:t>
            </w:r>
          </w:p>
        </w:tc>
      </w:tr>
      <w:tr w:rsidR="00F76BB4" w:rsidRPr="00DD7B98" w14:paraId="7876B1A0" w14:textId="77777777" w:rsidTr="00B16B69">
        <w:trPr>
          <w:trHeight w:val="71"/>
        </w:trPr>
        <w:tc>
          <w:tcPr>
            <w:tcW w:w="2810" w:type="dxa"/>
            <w:vMerge/>
            <w:shd w:val="clear" w:color="auto" w:fill="F3F3F3"/>
          </w:tcPr>
          <w:p w14:paraId="29D805D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F65F1CF" w14:textId="2F28031F" w:rsidR="00F76BB4" w:rsidRPr="00DD7B98" w:rsidRDefault="00F76BB4" w:rsidP="00D950BE">
            <w:pPr>
              <w:spacing w:before="240"/>
              <w:rPr>
                <w:rFonts w:ascii="Times New Roman" w:hAnsi="Times New Roman" w:cs="Times New Roman"/>
                <w:sz w:val="20"/>
                <w:szCs w:val="20"/>
              </w:rPr>
            </w:pPr>
            <w:r w:rsidRPr="00DD7B98">
              <w:rPr>
                <w:rFonts w:ascii="Times New Roman" w:eastAsia="Times New Roman" w:hAnsi="Times New Roman" w:cs="Times New Roman"/>
                <w:sz w:val="20"/>
                <w:szCs w:val="20"/>
                <w:lang w:eastAsia="pl-PL"/>
              </w:rPr>
              <w:t>decyzjach o warunkach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w:t>
            </w:r>
          </w:p>
        </w:tc>
        <w:tc>
          <w:tcPr>
            <w:tcW w:w="3419" w:type="dxa"/>
          </w:tcPr>
          <w:p w14:paraId="64FA7C12" w14:textId="2BFC7478" w:rsidR="00F76BB4" w:rsidRPr="00DD7B98" w:rsidRDefault="003E7295"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D1A8A01" w14:textId="77777777" w:rsidTr="00B16B69">
        <w:trPr>
          <w:trHeight w:val="71"/>
        </w:trPr>
        <w:tc>
          <w:tcPr>
            <w:tcW w:w="2810" w:type="dxa"/>
            <w:vMerge/>
            <w:shd w:val="clear" w:color="auto" w:fill="F3F3F3"/>
          </w:tcPr>
          <w:p w14:paraId="7C894753"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9823343" w14:textId="3C8D8033" w:rsidR="00F76BB4" w:rsidRPr="00DD7B98" w:rsidRDefault="00F76BB4" w:rsidP="00123F42">
            <w:pPr>
              <w:widowControl w:val="0"/>
              <w:autoSpaceDE w:val="0"/>
              <w:autoSpaceDN w:val="0"/>
              <w:adjustRightInd w:val="0"/>
              <w:spacing w:before="240" w:line="276"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decyzjach o środowiskowych</w:t>
            </w:r>
            <w:r w:rsidR="00123F42">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uwarunkowaniach</w:t>
            </w:r>
          </w:p>
        </w:tc>
        <w:tc>
          <w:tcPr>
            <w:tcW w:w="3419" w:type="dxa"/>
          </w:tcPr>
          <w:p w14:paraId="752B0C31" w14:textId="77777777" w:rsidR="00FF1415" w:rsidRPr="00FF1415" w:rsidRDefault="00FF1415" w:rsidP="00FF1415">
            <w:pPr>
              <w:spacing w:beforeLines="60" w:before="144" w:afterLines="60" w:after="144" w:line="240" w:lineRule="auto"/>
              <w:rPr>
                <w:rFonts w:ascii="Times New Roman" w:eastAsia="Times New Roman" w:hAnsi="Times New Roman" w:cs="Times New Roman"/>
                <w:sz w:val="20"/>
                <w:szCs w:val="20"/>
                <w:lang w:eastAsia="pl-PL"/>
              </w:rPr>
            </w:pPr>
            <w:hyperlink r:id="rId15" w:history="1">
              <w:r w:rsidRPr="00FF1415">
                <w:rPr>
                  <w:rStyle w:val="Hipercze"/>
                  <w:rFonts w:ascii="Times New Roman" w:eastAsia="Times New Roman" w:hAnsi="Times New Roman" w:cs="Times New Roman"/>
                  <w:color w:val="auto"/>
                  <w:sz w:val="20"/>
                  <w:szCs w:val="20"/>
                  <w:u w:val="none"/>
                  <w:lang w:eastAsia="pl-PL"/>
                </w:rPr>
                <w:t>http://bazaoos.gdos.gov.pl/web/guest/home</w:t>
              </w:r>
            </w:hyperlink>
          </w:p>
          <w:p w14:paraId="0F7FB881" w14:textId="77777777" w:rsidR="00FF1415" w:rsidRPr="00FF1415" w:rsidRDefault="00FF1415" w:rsidP="00FF1415">
            <w:pPr>
              <w:spacing w:beforeLines="60" w:before="144" w:afterLines="60" w:after="144" w:line="240" w:lineRule="auto"/>
              <w:rPr>
                <w:rFonts w:ascii="Times New Roman" w:eastAsia="Times New Roman" w:hAnsi="Times New Roman" w:cs="Times New Roman"/>
                <w:sz w:val="20"/>
                <w:szCs w:val="20"/>
                <w:lang w:eastAsia="pl-PL"/>
              </w:rPr>
            </w:pPr>
            <w:hyperlink r:id="rId16" w:history="1">
              <w:r w:rsidRPr="00FF1415">
                <w:rPr>
                  <w:rStyle w:val="Hipercze"/>
                  <w:rFonts w:ascii="Times New Roman" w:eastAsia="Times New Roman" w:hAnsi="Times New Roman" w:cs="Times New Roman"/>
                  <w:color w:val="auto"/>
                  <w:sz w:val="20"/>
                  <w:szCs w:val="20"/>
                  <w:u w:val="none"/>
                  <w:lang w:eastAsia="pl-PL"/>
                </w:rPr>
                <w:t>https://www.gov.pl/web/rdos-warszawa/obwieszczenia-i-zawiadomienia</w:t>
              </w:r>
            </w:hyperlink>
          </w:p>
          <w:p w14:paraId="52F571C6" w14:textId="31D5D45A" w:rsidR="00F76BB4" w:rsidRPr="00FF1415" w:rsidRDefault="00FF1415" w:rsidP="00FF1415">
            <w:pPr>
              <w:spacing w:beforeLines="60" w:before="144" w:afterLines="60" w:after="144" w:line="240" w:lineRule="auto"/>
              <w:rPr>
                <w:rFonts w:ascii="Times New Roman" w:eastAsia="Times New Roman" w:hAnsi="Times New Roman" w:cs="Times New Roman"/>
                <w:sz w:val="20"/>
                <w:szCs w:val="20"/>
              </w:rPr>
            </w:pPr>
            <w:hyperlink r:id="rId17" w:history="1">
              <w:r w:rsidRPr="00FF1415">
                <w:rPr>
                  <w:rStyle w:val="Hipercze"/>
                  <w:rFonts w:ascii="Times New Roman" w:eastAsia="Times New Roman" w:hAnsi="Times New Roman" w:cs="Times New Roman"/>
                  <w:color w:val="auto"/>
                  <w:sz w:val="20"/>
                  <w:szCs w:val="20"/>
                  <w:u w:val="none"/>
                  <w:lang w:eastAsia="pl-PL"/>
                </w:rPr>
                <w:t>https://ekokarty.pl/wykaz/rdos-warszawa/</w:t>
              </w:r>
            </w:hyperlink>
          </w:p>
        </w:tc>
      </w:tr>
      <w:tr w:rsidR="00F76BB4" w:rsidRPr="00DD7B98" w14:paraId="4FB0F65B" w14:textId="77777777" w:rsidTr="00B16B69">
        <w:trPr>
          <w:trHeight w:val="71"/>
        </w:trPr>
        <w:tc>
          <w:tcPr>
            <w:tcW w:w="2810" w:type="dxa"/>
            <w:vMerge/>
            <w:shd w:val="clear" w:color="auto" w:fill="F3F3F3"/>
          </w:tcPr>
          <w:p w14:paraId="6E2D105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1D9D557" w14:textId="7DC95EA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uchwałach o obszarach ograniczonego użytkowania</w:t>
            </w:r>
          </w:p>
        </w:tc>
        <w:tc>
          <w:tcPr>
            <w:tcW w:w="3419" w:type="dxa"/>
          </w:tcPr>
          <w:p w14:paraId="2CDA59BA" w14:textId="3B3ACD83" w:rsidR="00F76BB4" w:rsidRPr="00FF1415" w:rsidRDefault="00123F42" w:rsidP="006C5700">
            <w:pPr>
              <w:spacing w:beforeLines="60" w:before="144" w:afterLines="60" w:after="144" w:line="240" w:lineRule="auto"/>
              <w:rPr>
                <w:rFonts w:ascii="Times New Roman" w:eastAsia="Times New Roman" w:hAnsi="Times New Roman" w:cs="Times New Roman"/>
                <w:sz w:val="20"/>
                <w:szCs w:val="20"/>
              </w:rPr>
            </w:pPr>
            <w:r w:rsidRPr="00FF1415">
              <w:rPr>
                <w:rFonts w:ascii="Times New Roman" w:eastAsia="Times New Roman" w:hAnsi="Times New Roman" w:cs="Times New Roman"/>
                <w:sz w:val="20"/>
                <w:szCs w:val="20"/>
                <w:lang w:eastAsia="pl-PL"/>
              </w:rPr>
              <w:t>Brak informacji.</w:t>
            </w:r>
          </w:p>
        </w:tc>
      </w:tr>
      <w:tr w:rsidR="00F76BB4" w:rsidRPr="00DD7B98" w14:paraId="769F43F8" w14:textId="77777777" w:rsidTr="00B16B69">
        <w:trPr>
          <w:trHeight w:val="71"/>
        </w:trPr>
        <w:tc>
          <w:tcPr>
            <w:tcW w:w="2810" w:type="dxa"/>
            <w:vMerge/>
            <w:shd w:val="clear" w:color="auto" w:fill="F3F3F3"/>
          </w:tcPr>
          <w:p w14:paraId="52E7ED54"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889B6A" w14:textId="04B1E1D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odbudowy</w:t>
            </w:r>
          </w:p>
        </w:tc>
        <w:tc>
          <w:tcPr>
            <w:tcW w:w="3419" w:type="dxa"/>
          </w:tcPr>
          <w:p w14:paraId="61BEFA90" w14:textId="67048E8F" w:rsidR="00F76BB4" w:rsidRPr="00FF1415" w:rsidRDefault="00123F42" w:rsidP="006C5700">
            <w:pPr>
              <w:spacing w:beforeLines="60" w:before="144" w:afterLines="60" w:after="144" w:line="240" w:lineRule="auto"/>
              <w:rPr>
                <w:rFonts w:ascii="Times New Roman" w:eastAsia="Times New Roman" w:hAnsi="Times New Roman" w:cs="Times New Roman"/>
                <w:sz w:val="20"/>
                <w:szCs w:val="20"/>
              </w:rPr>
            </w:pPr>
            <w:r w:rsidRPr="00FF1415">
              <w:rPr>
                <w:rFonts w:ascii="Times New Roman" w:eastAsia="Times New Roman" w:hAnsi="Times New Roman" w:cs="Times New Roman"/>
                <w:sz w:val="20"/>
                <w:szCs w:val="20"/>
                <w:lang w:eastAsia="pl-PL"/>
              </w:rPr>
              <w:t>Brak informacji.</w:t>
            </w:r>
          </w:p>
        </w:tc>
      </w:tr>
      <w:tr w:rsidR="00F76BB4" w:rsidRPr="00DD7B98" w14:paraId="0BD8B140" w14:textId="77777777" w:rsidTr="00B16B69">
        <w:trPr>
          <w:trHeight w:val="71"/>
        </w:trPr>
        <w:tc>
          <w:tcPr>
            <w:tcW w:w="2810" w:type="dxa"/>
            <w:vMerge/>
            <w:shd w:val="clear" w:color="auto" w:fill="F3F3F3"/>
          </w:tcPr>
          <w:p w14:paraId="56FF833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35ACEFF" w14:textId="551869F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mapach zagrożenia powodziowego i</w:t>
            </w:r>
            <w:r w:rsidR="00273AB4">
              <w:rPr>
                <w:rFonts w:ascii="Times New Roman" w:eastAsia="Times New Roman" w:hAnsi="Times New Roman" w:cs="Times New Roman"/>
                <w:sz w:val="20"/>
                <w:szCs w:val="20"/>
              </w:rPr>
              <w:t> </w:t>
            </w:r>
            <w:r w:rsidRPr="00DD7B98">
              <w:rPr>
                <w:rFonts w:ascii="Times New Roman" w:eastAsia="Times New Roman" w:hAnsi="Times New Roman" w:cs="Times New Roman"/>
                <w:sz w:val="20"/>
                <w:szCs w:val="20"/>
              </w:rPr>
              <w:t>mapach ryzyka powodziowego</w:t>
            </w:r>
          </w:p>
        </w:tc>
        <w:tc>
          <w:tcPr>
            <w:tcW w:w="3419" w:type="dxa"/>
          </w:tcPr>
          <w:p w14:paraId="6DC3CE92" w14:textId="7F48753A" w:rsidR="00F76BB4" w:rsidRPr="00FF1415" w:rsidRDefault="00FF1415" w:rsidP="006C5700">
            <w:pPr>
              <w:spacing w:beforeLines="60" w:before="144" w:afterLines="60" w:after="144" w:line="240" w:lineRule="auto"/>
              <w:rPr>
                <w:rFonts w:ascii="Times New Roman" w:eastAsia="Times New Roman" w:hAnsi="Times New Roman" w:cs="Times New Roman"/>
                <w:sz w:val="20"/>
                <w:szCs w:val="20"/>
              </w:rPr>
            </w:pPr>
            <w:hyperlink r:id="rId18" w:history="1">
              <w:r w:rsidRPr="00FF1415">
                <w:rPr>
                  <w:rStyle w:val="Hipercze"/>
                  <w:rFonts w:ascii="Times New Roman" w:eastAsia="Times New Roman" w:hAnsi="Times New Roman" w:cs="Times New Roman"/>
                  <w:color w:val="auto"/>
                  <w:sz w:val="20"/>
                  <w:szCs w:val="20"/>
                  <w:u w:val="none"/>
                </w:rPr>
                <w:t>https://wody.isok.gov.pl/imap_kzgw/?gpmap=gpMZP&amp;moduleId=gpMZP</w:t>
              </w:r>
            </w:hyperlink>
          </w:p>
        </w:tc>
      </w:tr>
      <w:tr w:rsidR="00B16B69" w:rsidRPr="00DD7B98" w14:paraId="45C4DD00" w14:textId="77777777" w:rsidTr="00E10302">
        <w:trPr>
          <w:trHeight w:val="761"/>
        </w:trPr>
        <w:tc>
          <w:tcPr>
            <w:tcW w:w="2810" w:type="dxa"/>
            <w:vMerge/>
            <w:shd w:val="clear" w:color="auto" w:fill="F3F3F3"/>
          </w:tcPr>
          <w:p w14:paraId="1314A19F"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718997B" w14:textId="52B9C7D1" w:rsidR="00B16B69" w:rsidRPr="00FF1415" w:rsidRDefault="00B16B69" w:rsidP="00D950BE">
            <w:pPr>
              <w:widowControl w:val="0"/>
              <w:autoSpaceDE w:val="0"/>
              <w:autoSpaceDN w:val="0"/>
              <w:adjustRightInd w:val="0"/>
              <w:spacing w:before="240" w:line="240" w:lineRule="auto"/>
              <w:rPr>
                <w:rFonts w:ascii="Times New Roman" w:eastAsia="Times New Roman" w:hAnsi="Times New Roman" w:cs="Times New Roman"/>
                <w:sz w:val="20"/>
                <w:szCs w:val="20"/>
              </w:rPr>
            </w:pPr>
            <w:r w:rsidRPr="00FF1415">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tc>
      </w:tr>
      <w:tr w:rsidR="00B16B69" w:rsidRPr="00DD7B98" w14:paraId="20882F84" w14:textId="5FF73817" w:rsidTr="00E10302">
        <w:trPr>
          <w:trHeight w:val="559"/>
        </w:trPr>
        <w:tc>
          <w:tcPr>
            <w:tcW w:w="2810" w:type="dxa"/>
            <w:vMerge/>
            <w:shd w:val="clear" w:color="auto" w:fill="F3F3F3"/>
          </w:tcPr>
          <w:p w14:paraId="2C5F1042"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4AF9EC3" w14:textId="77777777" w:rsidR="00B16B69" w:rsidRPr="00DD7B98" w:rsidRDefault="00B16B69" w:rsidP="00123F42">
            <w:pPr>
              <w:widowControl w:val="0"/>
              <w:autoSpaceDE w:val="0"/>
              <w:autoSpaceDN w:val="0"/>
              <w:adjustRightInd w:val="0"/>
              <w:spacing w:before="24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drogowej</w:t>
            </w:r>
          </w:p>
        </w:tc>
        <w:tc>
          <w:tcPr>
            <w:tcW w:w="3419" w:type="dxa"/>
          </w:tcPr>
          <w:p w14:paraId="46720DCC" w14:textId="64F6AED5" w:rsidR="00FF1415" w:rsidRPr="00FF1415" w:rsidRDefault="00FF1415" w:rsidP="00D950BE">
            <w:pPr>
              <w:widowControl w:val="0"/>
              <w:autoSpaceDE w:val="0"/>
              <w:autoSpaceDN w:val="0"/>
              <w:adjustRightInd w:val="0"/>
              <w:spacing w:before="240" w:after="0" w:line="240" w:lineRule="auto"/>
              <w:rPr>
                <w:rFonts w:ascii="Times New Roman" w:eastAsia="Times New Roman" w:hAnsi="Times New Roman" w:cs="Times New Roman"/>
                <w:sz w:val="20"/>
                <w:szCs w:val="20"/>
                <w:lang w:eastAsia="pl-PL"/>
              </w:rPr>
            </w:pPr>
            <w:r w:rsidRPr="00FF1415">
              <w:rPr>
                <w:rFonts w:ascii="Times New Roman" w:eastAsia="Times New Roman" w:hAnsi="Times New Roman" w:cs="Times New Roman"/>
                <w:sz w:val="20"/>
                <w:szCs w:val="20"/>
                <w:lang w:eastAsia="pl-PL"/>
              </w:rPr>
              <w:t>http\://wyszukiwarka.gunb.gov.pl/</w:t>
            </w:r>
          </w:p>
        </w:tc>
      </w:tr>
      <w:tr w:rsidR="00F76BB4" w:rsidRPr="00DD7B98" w14:paraId="7CCEDD2F" w14:textId="77777777" w:rsidTr="00B16B69">
        <w:trPr>
          <w:trHeight w:val="84"/>
        </w:trPr>
        <w:tc>
          <w:tcPr>
            <w:tcW w:w="2810" w:type="dxa"/>
            <w:vMerge/>
            <w:shd w:val="clear" w:color="auto" w:fill="F3F3F3"/>
          </w:tcPr>
          <w:p w14:paraId="23939DB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116493F" w14:textId="33F529F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linii kolejowej</w:t>
            </w:r>
          </w:p>
        </w:tc>
        <w:tc>
          <w:tcPr>
            <w:tcW w:w="3419" w:type="dxa"/>
          </w:tcPr>
          <w:p w14:paraId="7F04F8EF" w14:textId="33FA9D33"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6BB02C34" w14:textId="77777777" w:rsidTr="00B16B69">
        <w:trPr>
          <w:trHeight w:val="81"/>
        </w:trPr>
        <w:tc>
          <w:tcPr>
            <w:tcW w:w="2810" w:type="dxa"/>
            <w:vMerge/>
            <w:shd w:val="clear" w:color="auto" w:fill="F3F3F3"/>
          </w:tcPr>
          <w:p w14:paraId="270857B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61A3398" w14:textId="3D13A5D1"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63A0A76" w14:textId="3063AF64"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7693A6C7" w14:textId="77777777" w:rsidTr="00B16B69">
        <w:trPr>
          <w:trHeight w:val="81"/>
        </w:trPr>
        <w:tc>
          <w:tcPr>
            <w:tcW w:w="2810" w:type="dxa"/>
            <w:vMerge/>
            <w:shd w:val="clear" w:color="auto" w:fill="F3F3F3"/>
          </w:tcPr>
          <w:p w14:paraId="609CB0D6"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638FBF2" w14:textId="18D83CC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03267CF0" w14:textId="2531DD2E"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72FE196" w14:textId="77777777" w:rsidTr="00B16B69">
        <w:trPr>
          <w:trHeight w:val="81"/>
        </w:trPr>
        <w:tc>
          <w:tcPr>
            <w:tcW w:w="2810" w:type="dxa"/>
            <w:vMerge/>
            <w:shd w:val="clear" w:color="auto" w:fill="F3F3F3"/>
          </w:tcPr>
          <w:p w14:paraId="197204D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30E09C" w14:textId="0A803BA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5C258A1A" w14:textId="6657476A"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235D7A5" w14:textId="77777777" w:rsidTr="00B16B69">
        <w:trPr>
          <w:trHeight w:val="81"/>
        </w:trPr>
        <w:tc>
          <w:tcPr>
            <w:tcW w:w="2810" w:type="dxa"/>
            <w:vMerge/>
            <w:shd w:val="clear" w:color="auto" w:fill="F3F3F3"/>
          </w:tcPr>
          <w:p w14:paraId="72EDFEAC"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F4FFBC1" w14:textId="66FDC95D"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2A79EAEA" w14:textId="64566245"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4C77E56F" w14:textId="77777777" w:rsidTr="00B16B69">
        <w:trPr>
          <w:trHeight w:val="81"/>
        </w:trPr>
        <w:tc>
          <w:tcPr>
            <w:tcW w:w="2810" w:type="dxa"/>
            <w:vMerge/>
            <w:shd w:val="clear" w:color="auto" w:fill="F3F3F3"/>
          </w:tcPr>
          <w:p w14:paraId="069E971B"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D17A933" w14:textId="20B69248"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regionalnej sieci szerokopasmowej</w:t>
            </w:r>
          </w:p>
        </w:tc>
        <w:tc>
          <w:tcPr>
            <w:tcW w:w="3419" w:type="dxa"/>
          </w:tcPr>
          <w:p w14:paraId="5FC2BA74" w14:textId="1C571ACD"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18AC81D" w14:textId="77777777" w:rsidTr="00B16B69">
        <w:trPr>
          <w:trHeight w:val="81"/>
        </w:trPr>
        <w:tc>
          <w:tcPr>
            <w:tcW w:w="2810" w:type="dxa"/>
            <w:vMerge/>
            <w:shd w:val="clear" w:color="auto" w:fill="F3F3F3"/>
          </w:tcPr>
          <w:p w14:paraId="2EA99F61"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C540DBA" w14:textId="0EF26265"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Ce</w:t>
            </w:r>
            <w:r w:rsidR="00407983">
              <w:rPr>
                <w:rFonts w:ascii="Times New Roman" w:eastAsia="Times New Roman" w:hAnsi="Times New Roman" w:cs="Times New Roman"/>
                <w:sz w:val="20"/>
                <w:szCs w:val="20"/>
              </w:rPr>
              <w:t>ntralnego Portu Komunikacyjnego</w:t>
            </w:r>
          </w:p>
        </w:tc>
        <w:tc>
          <w:tcPr>
            <w:tcW w:w="3419" w:type="dxa"/>
          </w:tcPr>
          <w:p w14:paraId="7F9F68F7" w14:textId="15827A73"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66070E13" w14:textId="77777777" w:rsidTr="00B16B69">
        <w:trPr>
          <w:trHeight w:val="81"/>
        </w:trPr>
        <w:tc>
          <w:tcPr>
            <w:tcW w:w="2810" w:type="dxa"/>
            <w:vMerge/>
            <w:shd w:val="clear" w:color="auto" w:fill="F3F3F3"/>
          </w:tcPr>
          <w:p w14:paraId="642BC81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EA80619" w14:textId="6B021BE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infrastruktury dostępowej</w:t>
            </w:r>
          </w:p>
        </w:tc>
        <w:tc>
          <w:tcPr>
            <w:tcW w:w="3419" w:type="dxa"/>
          </w:tcPr>
          <w:p w14:paraId="0EFEF4EE" w14:textId="3A1928D6"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59CBD6A" w14:textId="77777777" w:rsidTr="00B16B69">
        <w:trPr>
          <w:trHeight w:val="81"/>
        </w:trPr>
        <w:tc>
          <w:tcPr>
            <w:tcW w:w="2810" w:type="dxa"/>
            <w:vMerge/>
            <w:shd w:val="clear" w:color="auto" w:fill="F3F3F3"/>
          </w:tcPr>
          <w:p w14:paraId="37B3D0E9"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862449A" w14:textId="3EED4F1F"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CEE8623" w14:textId="4B504D63"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F76BB4" w:rsidRPr="00DD7B98" w14:paraId="294EE7C3" w14:textId="77777777" w:rsidTr="00B16B69">
        <w:trPr>
          <w:trHeight w:val="81"/>
        </w:trPr>
        <w:tc>
          <w:tcPr>
            <w:tcW w:w="2810" w:type="dxa"/>
            <w:vMerge/>
            <w:shd w:val="clear" w:color="auto" w:fill="F3F3F3"/>
          </w:tcPr>
          <w:p w14:paraId="091B570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8E6D1B4" w14:textId="77777777"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4A07D3A3" w14:textId="1E3F2A3D" w:rsidR="00F76BB4" w:rsidRPr="00DD7B98" w:rsidRDefault="00123F42"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 informacji.</w:t>
            </w:r>
          </w:p>
        </w:tc>
      </w:tr>
      <w:tr w:rsidR="00B16B69" w:rsidRPr="00DD7B98" w14:paraId="173280D8" w14:textId="31012271" w:rsidTr="00B16B69">
        <w:trPr>
          <w:trHeight w:val="390"/>
        </w:trPr>
        <w:tc>
          <w:tcPr>
            <w:tcW w:w="9648" w:type="dxa"/>
            <w:gridSpan w:val="3"/>
            <w:shd w:val="clear" w:color="auto" w:fill="D9D9D9"/>
          </w:tcPr>
          <w:p w14:paraId="3DE50D0D" w14:textId="5A27CF0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b/>
                <w:sz w:val="20"/>
                <w:szCs w:val="20"/>
              </w:rPr>
              <w:t>INFORMACJE DOTYCZĄCE BUDYNKU</w:t>
            </w:r>
          </w:p>
        </w:tc>
      </w:tr>
      <w:tr w:rsidR="00F76BB4" w:rsidRPr="00DD7B98" w14:paraId="3CBB4904" w14:textId="77777777" w:rsidTr="00B16B69">
        <w:trPr>
          <w:trHeight w:val="390"/>
        </w:trPr>
        <w:tc>
          <w:tcPr>
            <w:tcW w:w="2810" w:type="dxa"/>
            <w:shd w:val="clear" w:color="auto" w:fill="F3F3F3"/>
          </w:tcPr>
          <w:p w14:paraId="07859F23" w14:textId="1A5DAA2A"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Czy jest pozwolenie na budowę</w:t>
            </w:r>
          </w:p>
        </w:tc>
        <w:tc>
          <w:tcPr>
            <w:tcW w:w="3419" w:type="dxa"/>
            <w:vAlign w:val="center"/>
          </w:tcPr>
          <w:p w14:paraId="2C36ABD3" w14:textId="2CB6027B" w:rsidR="00F76BB4" w:rsidRPr="00DD7B98"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tak*</w:t>
            </w:r>
          </w:p>
        </w:tc>
        <w:tc>
          <w:tcPr>
            <w:tcW w:w="3419" w:type="dxa"/>
            <w:vAlign w:val="center"/>
          </w:tcPr>
          <w:p w14:paraId="486A9AA3" w14:textId="12EB9C37" w:rsidR="00F76BB4" w:rsidRPr="00496E5F"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nie*</w:t>
            </w:r>
          </w:p>
        </w:tc>
      </w:tr>
      <w:tr w:rsidR="00F76BB4" w:rsidRPr="00DD7B98" w14:paraId="05BB7678" w14:textId="77777777" w:rsidTr="00B16B69">
        <w:trPr>
          <w:trHeight w:val="390"/>
        </w:trPr>
        <w:tc>
          <w:tcPr>
            <w:tcW w:w="2810" w:type="dxa"/>
            <w:shd w:val="clear" w:color="auto" w:fill="F3F3F3"/>
          </w:tcPr>
          <w:p w14:paraId="77ECE435" w14:textId="77777777"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Czy pozwolenie na budowę jest ostateczne</w:t>
            </w:r>
          </w:p>
        </w:tc>
        <w:tc>
          <w:tcPr>
            <w:tcW w:w="3419" w:type="dxa"/>
            <w:vAlign w:val="center"/>
          </w:tcPr>
          <w:p w14:paraId="55FBC994" w14:textId="41D3FEB5" w:rsidR="00F76BB4" w:rsidRPr="00DD7B98"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tak*</w:t>
            </w:r>
          </w:p>
        </w:tc>
        <w:tc>
          <w:tcPr>
            <w:tcW w:w="3419" w:type="dxa"/>
            <w:vAlign w:val="center"/>
          </w:tcPr>
          <w:p w14:paraId="37710437" w14:textId="19D71011" w:rsidR="00F76BB4" w:rsidRPr="00496E5F"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nie*</w:t>
            </w:r>
          </w:p>
        </w:tc>
      </w:tr>
      <w:tr w:rsidR="00B16B69" w:rsidRPr="00DD7B98" w14:paraId="75E32F0D" w14:textId="77777777" w:rsidTr="00B16B69">
        <w:trPr>
          <w:trHeight w:val="390"/>
        </w:trPr>
        <w:tc>
          <w:tcPr>
            <w:tcW w:w="2810" w:type="dxa"/>
            <w:shd w:val="clear" w:color="auto" w:fill="F3F3F3"/>
          </w:tcPr>
          <w:p w14:paraId="03BC8DD3"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Czy pozwolenie na budowę jest zaskarżone</w:t>
            </w:r>
          </w:p>
        </w:tc>
        <w:tc>
          <w:tcPr>
            <w:tcW w:w="3419" w:type="dxa"/>
            <w:vAlign w:val="center"/>
          </w:tcPr>
          <w:p w14:paraId="73997BEA" w14:textId="1660A3AC" w:rsidR="00B16B69" w:rsidRPr="00805034" w:rsidRDefault="00B16B69" w:rsidP="00B16B69">
            <w:pPr>
              <w:spacing w:beforeLines="60" w:before="144" w:afterLines="60" w:after="144" w:line="240" w:lineRule="auto"/>
              <w:jc w:val="center"/>
              <w:rPr>
                <w:rFonts w:ascii="Times New Roman" w:eastAsia="Times New Roman" w:hAnsi="Times New Roman" w:cs="Times New Roman"/>
                <w:strike/>
                <w:sz w:val="20"/>
                <w:szCs w:val="20"/>
              </w:rPr>
            </w:pPr>
            <w:r w:rsidRPr="00805034">
              <w:rPr>
                <w:rFonts w:ascii="Times New Roman" w:eastAsia="Times New Roman" w:hAnsi="Times New Roman" w:cs="Times New Roman"/>
                <w:strike/>
                <w:sz w:val="20"/>
                <w:szCs w:val="20"/>
              </w:rPr>
              <w:t>tak*</w:t>
            </w:r>
          </w:p>
        </w:tc>
        <w:tc>
          <w:tcPr>
            <w:tcW w:w="3419" w:type="dxa"/>
            <w:vAlign w:val="center"/>
          </w:tcPr>
          <w:p w14:paraId="6233BCE9" w14:textId="1473C844" w:rsidR="00B16B69" w:rsidRPr="00DD7B98" w:rsidRDefault="00B16B69" w:rsidP="00B16B69">
            <w:pPr>
              <w:spacing w:beforeLines="60" w:before="144" w:afterLines="60" w:after="144" w:line="240" w:lineRule="auto"/>
              <w:jc w:val="center"/>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nie*</w:t>
            </w:r>
          </w:p>
        </w:tc>
      </w:tr>
      <w:tr w:rsidR="00B16B69" w:rsidRPr="00DD7B98" w14:paraId="3057007E" w14:textId="77777777" w:rsidTr="00B16B69">
        <w:trPr>
          <w:trHeight w:val="195"/>
        </w:trPr>
        <w:tc>
          <w:tcPr>
            <w:tcW w:w="2810" w:type="dxa"/>
            <w:shd w:val="clear" w:color="auto" w:fill="F3F3F3"/>
          </w:tcPr>
          <w:p w14:paraId="279101F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pozwolenia na budowę oraz nazwa organu, który je wydał</w:t>
            </w:r>
          </w:p>
        </w:tc>
        <w:tc>
          <w:tcPr>
            <w:tcW w:w="6838" w:type="dxa"/>
            <w:gridSpan w:val="2"/>
          </w:tcPr>
          <w:p w14:paraId="61E7E39A" w14:textId="4A7A6869" w:rsidR="00243CC5" w:rsidRPr="00805034" w:rsidRDefault="00805034" w:rsidP="00E73515">
            <w:pPr>
              <w:pStyle w:val="Standard"/>
              <w:widowControl w:val="0"/>
              <w:spacing w:before="144" w:after="144"/>
              <w:rPr>
                <w:rFonts w:ascii="Times New Roman" w:eastAsia="Times New Roman" w:hAnsi="Times New Roman" w:cs="Times New Roman"/>
                <w:sz w:val="20"/>
                <w:szCs w:val="20"/>
                <w:lang w:eastAsia="pl-PL"/>
              </w:rPr>
            </w:pPr>
            <w:r w:rsidRPr="00805034">
              <w:rPr>
                <w:rFonts w:ascii="Times New Roman" w:eastAsia="Times New Roman" w:hAnsi="Times New Roman" w:cs="Times New Roman"/>
                <w:sz w:val="20"/>
                <w:szCs w:val="20"/>
                <w:lang w:eastAsia="pl-PL"/>
              </w:rPr>
              <w:t>1442/23 – zatwierdzająca projekt zagospodarowania działki i projekt architektoniczno-budowlany i udzielająca pozwolenia na budowę</w:t>
            </w:r>
          </w:p>
          <w:p w14:paraId="5A870C47" w14:textId="5418FDB4" w:rsidR="00805034" w:rsidRPr="00805034" w:rsidRDefault="00805034" w:rsidP="00E73515">
            <w:pPr>
              <w:pStyle w:val="Standard"/>
              <w:widowControl w:val="0"/>
              <w:spacing w:before="144" w:after="144"/>
              <w:rPr>
                <w:rFonts w:ascii="Times New Roman" w:eastAsia="Times New Roman" w:hAnsi="Times New Roman" w:cs="Times New Roman"/>
                <w:sz w:val="20"/>
                <w:szCs w:val="20"/>
                <w:lang w:eastAsia="pl-PL"/>
              </w:rPr>
            </w:pPr>
            <w:r w:rsidRPr="00805034">
              <w:rPr>
                <w:rFonts w:ascii="Times New Roman" w:eastAsia="Times New Roman" w:hAnsi="Times New Roman" w:cs="Times New Roman"/>
                <w:sz w:val="20"/>
                <w:szCs w:val="20"/>
                <w:lang w:eastAsia="pl-PL"/>
              </w:rPr>
              <w:t>247/24 – przenosząca na nowego inwestora (tj. na Dewelopera)</w:t>
            </w:r>
          </w:p>
          <w:p w14:paraId="0104CDC7" w14:textId="78DD6E93" w:rsidR="00B16B69" w:rsidRPr="00805034" w:rsidRDefault="00496E5F" w:rsidP="00E73515">
            <w:pPr>
              <w:pStyle w:val="Standard"/>
              <w:widowControl w:val="0"/>
              <w:spacing w:before="144" w:after="144"/>
              <w:rPr>
                <w:rFonts w:ascii="Times New Roman" w:eastAsia="Times New Roman" w:hAnsi="Times New Roman" w:cs="Times New Roman"/>
                <w:sz w:val="20"/>
                <w:szCs w:val="20"/>
              </w:rPr>
            </w:pPr>
            <w:r w:rsidRPr="00805034">
              <w:rPr>
                <w:rFonts w:ascii="Times New Roman" w:eastAsia="Times New Roman" w:hAnsi="Times New Roman" w:cs="Times New Roman"/>
                <w:sz w:val="20"/>
                <w:szCs w:val="20"/>
                <w:lang w:eastAsia="pl-PL"/>
              </w:rPr>
              <w:t xml:space="preserve">Starosta </w:t>
            </w:r>
            <w:r w:rsidR="007E4FB5" w:rsidRPr="00805034">
              <w:rPr>
                <w:rFonts w:ascii="Times New Roman" w:eastAsia="Times New Roman" w:hAnsi="Times New Roman" w:cs="Times New Roman"/>
                <w:sz w:val="20"/>
                <w:szCs w:val="20"/>
                <w:lang w:eastAsia="pl-PL"/>
              </w:rPr>
              <w:t>Grodziski</w:t>
            </w:r>
          </w:p>
        </w:tc>
      </w:tr>
      <w:tr w:rsidR="00B16B69" w:rsidRPr="00DD7B98" w14:paraId="44DD8E43" w14:textId="77777777" w:rsidTr="00B16B69">
        <w:trPr>
          <w:trHeight w:val="195"/>
        </w:trPr>
        <w:tc>
          <w:tcPr>
            <w:tcW w:w="2810" w:type="dxa"/>
            <w:shd w:val="clear" w:color="auto" w:fill="F3F3F3"/>
          </w:tcPr>
          <w:p w14:paraId="14BABA4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5A889589" w14:textId="7D0C7C09" w:rsidR="00B16B69" w:rsidRPr="0080503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805034">
              <w:rPr>
                <w:rFonts w:ascii="Times New Roman" w:eastAsia="Times New Roman" w:hAnsi="Times New Roman" w:cs="Times New Roman"/>
                <w:sz w:val="20"/>
                <w:szCs w:val="20"/>
              </w:rPr>
              <w:t>Nie dotyczy, w trakcie budowy.</w:t>
            </w:r>
          </w:p>
        </w:tc>
      </w:tr>
      <w:tr w:rsidR="00B16B69" w:rsidRPr="00DD7B98" w14:paraId="2B1C9520" w14:textId="77777777" w:rsidTr="00B16B69">
        <w:trPr>
          <w:trHeight w:val="195"/>
        </w:trPr>
        <w:tc>
          <w:tcPr>
            <w:tcW w:w="2810" w:type="dxa"/>
            <w:shd w:val="clear" w:color="auto" w:fill="F3F3F3"/>
          </w:tcPr>
          <w:p w14:paraId="02A76846" w14:textId="4A32A21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zgłoszenia budowy, o której mowa w art. 29 ust. 1 pkt 1 ustawy z dnia 7 lipca 1994 r. – Prawo budowlane (Dz. U. z 202</w:t>
            </w:r>
            <w:r>
              <w:rPr>
                <w:rFonts w:ascii="Times New Roman" w:eastAsia="Times New Roman" w:hAnsi="Times New Roman" w:cs="Times New Roman"/>
                <w:sz w:val="20"/>
                <w:szCs w:val="20"/>
              </w:rPr>
              <w:t>1</w:t>
            </w:r>
            <w:r w:rsidRPr="00DD7B98">
              <w:rPr>
                <w:rFonts w:ascii="Times New Roman" w:eastAsia="Times New Roman" w:hAnsi="Times New Roman" w:cs="Times New Roman"/>
                <w:sz w:val="20"/>
                <w:szCs w:val="20"/>
              </w:rPr>
              <w:t xml:space="preserve"> r. poz. </w:t>
            </w:r>
            <w:r>
              <w:rPr>
                <w:rFonts w:ascii="Times New Roman" w:eastAsia="Times New Roman" w:hAnsi="Times New Roman" w:cs="Times New Roman"/>
                <w:sz w:val="20"/>
                <w:szCs w:val="20"/>
              </w:rPr>
              <w:t>2351</w:t>
            </w:r>
            <w:r w:rsidR="00A65138">
              <w:rPr>
                <w:rFonts w:ascii="Times New Roman" w:eastAsia="Times New Roman" w:hAnsi="Times New Roman" w:cs="Times New Roman"/>
                <w:sz w:val="20"/>
                <w:szCs w:val="20"/>
              </w:rPr>
              <w:t>, z późn. zm.</w:t>
            </w:r>
            <w:r w:rsidRPr="00DD7B98">
              <w:rPr>
                <w:rFonts w:ascii="Times New Roman" w:eastAsia="Times New Roman" w:hAnsi="Times New Roman" w:cs="Times New Roman"/>
                <w:sz w:val="20"/>
                <w:szCs w:val="20"/>
              </w:rPr>
              <w:t>), oraz oznaczenie organu, do którego dokonano zgłoszenia, wraz z informacją o braku wniesienia sprzeciwu przez ten organ</w:t>
            </w:r>
          </w:p>
        </w:tc>
        <w:tc>
          <w:tcPr>
            <w:tcW w:w="6838" w:type="dxa"/>
            <w:gridSpan w:val="2"/>
          </w:tcPr>
          <w:p w14:paraId="6B58074A" w14:textId="290F7031"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r w:rsidR="00B73E4B">
              <w:rPr>
                <w:rFonts w:ascii="Times New Roman" w:eastAsia="Times New Roman" w:hAnsi="Times New Roman" w:cs="Times New Roman"/>
                <w:sz w:val="20"/>
                <w:szCs w:val="20"/>
              </w:rPr>
              <w:t>.</w:t>
            </w:r>
          </w:p>
        </w:tc>
      </w:tr>
      <w:tr w:rsidR="00B16B69" w:rsidRPr="00DD7B98" w14:paraId="1EA4C948" w14:textId="77777777" w:rsidTr="00B16B69">
        <w:trPr>
          <w:trHeight w:val="195"/>
        </w:trPr>
        <w:tc>
          <w:tcPr>
            <w:tcW w:w="2810" w:type="dxa"/>
            <w:shd w:val="clear" w:color="auto" w:fill="F3F3F3"/>
          </w:tcPr>
          <w:p w14:paraId="0291C51F" w14:textId="62185CE6" w:rsidR="00B16B69" w:rsidRPr="00DD0A98" w:rsidRDefault="00B16B69"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Data zakończe</w:t>
            </w:r>
            <w:r w:rsidR="007B6386" w:rsidRPr="00DD0A98">
              <w:rPr>
                <w:rFonts w:ascii="Times New Roman" w:eastAsia="Times New Roman" w:hAnsi="Times New Roman" w:cs="Times New Roman"/>
                <w:sz w:val="20"/>
                <w:szCs w:val="20"/>
              </w:rPr>
              <w:t>nia budowy domu jednorodzinnego</w:t>
            </w:r>
          </w:p>
        </w:tc>
        <w:tc>
          <w:tcPr>
            <w:tcW w:w="6838" w:type="dxa"/>
            <w:gridSpan w:val="2"/>
          </w:tcPr>
          <w:p w14:paraId="2D43D73B" w14:textId="631F1FE3" w:rsidR="00B16B69" w:rsidRPr="00DD0A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Nie dotyczy, w trakcie budowy.</w:t>
            </w:r>
          </w:p>
        </w:tc>
      </w:tr>
      <w:tr w:rsidR="00B16B69" w:rsidRPr="00DD7B98" w14:paraId="0F325D4B" w14:textId="36B6F803" w:rsidTr="00B16B69">
        <w:trPr>
          <w:trHeight w:val="195"/>
        </w:trPr>
        <w:tc>
          <w:tcPr>
            <w:tcW w:w="2810" w:type="dxa"/>
            <w:shd w:val="clear" w:color="auto" w:fill="F3F3F3"/>
          </w:tcPr>
          <w:p w14:paraId="32CA8747" w14:textId="77777777" w:rsidR="00B16B69" w:rsidRPr="00DD0A98" w:rsidRDefault="00B16B69" w:rsidP="006C5700">
            <w:pPr>
              <w:spacing w:beforeLines="60" w:before="144" w:afterLines="60" w:after="144" w:line="240" w:lineRule="auto"/>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Planowany termin rozpoczęcia i zakończenia robót budowlanych</w:t>
            </w:r>
          </w:p>
        </w:tc>
        <w:tc>
          <w:tcPr>
            <w:tcW w:w="6838" w:type="dxa"/>
            <w:gridSpan w:val="2"/>
          </w:tcPr>
          <w:p w14:paraId="6142A7D7" w14:textId="68809688" w:rsidR="00083AEA" w:rsidRPr="00DD0A98" w:rsidRDefault="002250A5" w:rsidP="00083AEA">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17.04.2024</w:t>
            </w:r>
            <w:r w:rsidR="00191A3A" w:rsidRPr="00DD0A98">
              <w:rPr>
                <w:rFonts w:ascii="Times New Roman" w:eastAsia="Times New Roman" w:hAnsi="Times New Roman" w:cs="Times New Roman"/>
                <w:b/>
                <w:bCs/>
                <w:sz w:val="20"/>
                <w:szCs w:val="20"/>
                <w:lang w:eastAsia="pl-PL"/>
              </w:rPr>
              <w:t xml:space="preserve"> </w:t>
            </w:r>
            <w:r w:rsidR="00191A3A" w:rsidRPr="00DD0A98">
              <w:rPr>
                <w:rFonts w:ascii="Times New Roman" w:eastAsia="Times New Roman" w:hAnsi="Times New Roman" w:cs="Times New Roman"/>
                <w:b/>
                <w:bCs/>
                <w:sz w:val="20"/>
                <w:szCs w:val="20"/>
              </w:rPr>
              <w:t>r.</w:t>
            </w:r>
            <w:r w:rsidR="00083AEA" w:rsidRPr="00DD0A98">
              <w:rPr>
                <w:rFonts w:ascii="Times New Roman" w:eastAsia="Times New Roman" w:hAnsi="Times New Roman" w:cs="Times New Roman"/>
                <w:sz w:val="20"/>
                <w:szCs w:val="20"/>
              </w:rPr>
              <w:t>–</w:t>
            </w:r>
            <w:r w:rsidR="005C25D9" w:rsidRPr="00DD0A98">
              <w:rPr>
                <w:rFonts w:ascii="Times New Roman" w:eastAsia="Times New Roman" w:hAnsi="Times New Roman" w:cs="Times New Roman"/>
                <w:sz w:val="20"/>
                <w:szCs w:val="20"/>
              </w:rPr>
              <w:t xml:space="preserve"> </w:t>
            </w:r>
            <w:r w:rsidR="00083AEA" w:rsidRPr="00DD0A98">
              <w:rPr>
                <w:rFonts w:ascii="Times New Roman" w:eastAsia="Times New Roman" w:hAnsi="Times New Roman" w:cs="Times New Roman"/>
                <w:sz w:val="20"/>
                <w:szCs w:val="20"/>
              </w:rPr>
              <w:t>termin rozpoczęcia robót budowlanych.</w:t>
            </w:r>
          </w:p>
          <w:p w14:paraId="1EB48A82" w14:textId="77D31FC0" w:rsidR="00B16B69" w:rsidRPr="00DD0A98" w:rsidRDefault="00DD0A98" w:rsidP="00B73E4B">
            <w:pPr>
              <w:pStyle w:val="Standard"/>
              <w:widowControl w:val="0"/>
              <w:spacing w:before="144" w:after="144"/>
              <w:rPr>
                <w:rFonts w:ascii="Times New Roman" w:eastAsia="Times New Roman" w:hAnsi="Times New Roman" w:cs="Times New Roman"/>
                <w:sz w:val="20"/>
                <w:szCs w:val="20"/>
                <w:lang w:eastAsia="pl-PL"/>
              </w:rPr>
            </w:pPr>
            <w:r w:rsidRPr="00DD0A98">
              <w:rPr>
                <w:rFonts w:ascii="Times New Roman" w:eastAsia="Times New Roman" w:hAnsi="Times New Roman" w:cs="Times New Roman"/>
                <w:b/>
                <w:bCs/>
                <w:sz w:val="20"/>
                <w:szCs w:val="20"/>
                <w:lang w:eastAsia="pl-PL"/>
              </w:rPr>
              <w:t>3</w:t>
            </w:r>
            <w:r w:rsidR="004B265C">
              <w:rPr>
                <w:rFonts w:ascii="Times New Roman" w:eastAsia="Times New Roman" w:hAnsi="Times New Roman" w:cs="Times New Roman"/>
                <w:b/>
                <w:bCs/>
                <w:sz w:val="20"/>
                <w:szCs w:val="20"/>
                <w:lang w:eastAsia="pl-PL"/>
              </w:rPr>
              <w:t>1</w:t>
            </w:r>
            <w:r w:rsidRPr="00DD0A98">
              <w:rPr>
                <w:rFonts w:ascii="Times New Roman" w:eastAsia="Times New Roman" w:hAnsi="Times New Roman" w:cs="Times New Roman"/>
                <w:b/>
                <w:bCs/>
                <w:sz w:val="20"/>
                <w:szCs w:val="20"/>
                <w:lang w:eastAsia="pl-PL"/>
              </w:rPr>
              <w:t>.0</w:t>
            </w:r>
            <w:r w:rsidR="004B265C">
              <w:rPr>
                <w:rFonts w:ascii="Times New Roman" w:eastAsia="Times New Roman" w:hAnsi="Times New Roman" w:cs="Times New Roman"/>
                <w:b/>
                <w:bCs/>
                <w:sz w:val="20"/>
                <w:szCs w:val="20"/>
                <w:lang w:eastAsia="pl-PL"/>
              </w:rPr>
              <w:t>8</w:t>
            </w:r>
            <w:r w:rsidR="00245160" w:rsidRPr="00DD0A98">
              <w:rPr>
                <w:rFonts w:ascii="Times New Roman" w:eastAsia="Times New Roman" w:hAnsi="Times New Roman" w:cs="Times New Roman"/>
                <w:b/>
                <w:bCs/>
                <w:sz w:val="20"/>
                <w:szCs w:val="20"/>
                <w:lang w:eastAsia="pl-PL"/>
              </w:rPr>
              <w:t>.202</w:t>
            </w:r>
            <w:r w:rsidRPr="00DD0A98">
              <w:rPr>
                <w:rFonts w:ascii="Times New Roman" w:eastAsia="Times New Roman" w:hAnsi="Times New Roman" w:cs="Times New Roman"/>
                <w:b/>
                <w:bCs/>
                <w:sz w:val="20"/>
                <w:szCs w:val="20"/>
                <w:lang w:eastAsia="pl-PL"/>
              </w:rPr>
              <w:t>7</w:t>
            </w:r>
            <w:r w:rsidR="00B73E4B" w:rsidRPr="00DD0A98">
              <w:rPr>
                <w:rFonts w:ascii="Times New Roman" w:eastAsia="Times New Roman" w:hAnsi="Times New Roman" w:cs="Times New Roman"/>
                <w:b/>
                <w:bCs/>
                <w:sz w:val="20"/>
                <w:szCs w:val="20"/>
                <w:lang w:eastAsia="pl-PL"/>
              </w:rPr>
              <w:t xml:space="preserve"> </w:t>
            </w:r>
            <w:r w:rsidR="00083AEA" w:rsidRPr="00DD0A98">
              <w:rPr>
                <w:rFonts w:ascii="Times New Roman" w:eastAsia="Times New Roman" w:hAnsi="Times New Roman" w:cs="Times New Roman"/>
                <w:b/>
                <w:bCs/>
                <w:sz w:val="20"/>
                <w:szCs w:val="20"/>
              </w:rPr>
              <w:t>r.</w:t>
            </w:r>
            <w:r w:rsidR="00083AEA" w:rsidRPr="00DD0A98">
              <w:rPr>
                <w:rFonts w:ascii="Times New Roman" w:eastAsia="Times New Roman" w:hAnsi="Times New Roman" w:cs="Times New Roman"/>
                <w:sz w:val="20"/>
                <w:szCs w:val="20"/>
              </w:rPr>
              <w:t xml:space="preserve"> – planowany termin zakończenia robót budowlanych.</w:t>
            </w:r>
          </w:p>
        </w:tc>
      </w:tr>
      <w:tr w:rsidR="00B16B69" w:rsidRPr="00DD7B98" w14:paraId="2FE3BC25" w14:textId="77777777" w:rsidTr="00B16B69">
        <w:trPr>
          <w:trHeight w:val="325"/>
        </w:trPr>
        <w:tc>
          <w:tcPr>
            <w:tcW w:w="2810" w:type="dxa"/>
            <w:vMerge w:val="restart"/>
            <w:shd w:val="clear" w:color="auto" w:fill="F3F3F3"/>
          </w:tcPr>
          <w:p w14:paraId="0FA6112F" w14:textId="12FB2BD5"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Opis przedsięwzięcia deweloperskiego lub zadania inwestycyjnego</w:t>
            </w:r>
          </w:p>
        </w:tc>
        <w:tc>
          <w:tcPr>
            <w:tcW w:w="3419" w:type="dxa"/>
          </w:tcPr>
          <w:p w14:paraId="70EDF3A4" w14:textId="522631FA" w:rsidR="00B16B69" w:rsidRPr="00A77E1B" w:rsidRDefault="00B16B69" w:rsidP="006C5700">
            <w:pPr>
              <w:spacing w:beforeLines="60" w:before="144" w:afterLines="60" w:after="144" w:line="240" w:lineRule="auto"/>
              <w:rPr>
                <w:rFonts w:ascii="Times New Roman" w:eastAsia="Times New Roman" w:hAnsi="Times New Roman" w:cs="Times New Roman"/>
                <w:sz w:val="20"/>
                <w:szCs w:val="20"/>
              </w:rPr>
            </w:pPr>
            <w:r w:rsidRPr="00A77E1B">
              <w:rPr>
                <w:rFonts w:ascii="Times New Roman" w:eastAsia="Times New Roman" w:hAnsi="Times New Roman" w:cs="Times New Roman"/>
                <w:sz w:val="20"/>
                <w:szCs w:val="20"/>
              </w:rPr>
              <w:t>Liczba budynków</w:t>
            </w:r>
          </w:p>
        </w:tc>
        <w:tc>
          <w:tcPr>
            <w:tcW w:w="3419" w:type="dxa"/>
          </w:tcPr>
          <w:p w14:paraId="73A8DAED" w14:textId="305D1668" w:rsidR="00B16B69" w:rsidRPr="00A77E1B" w:rsidRDefault="00BD452B"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16B69" w:rsidRPr="00DD7B98" w14:paraId="08030D8D" w14:textId="77777777" w:rsidTr="00B16B69">
        <w:trPr>
          <w:trHeight w:val="325"/>
        </w:trPr>
        <w:tc>
          <w:tcPr>
            <w:tcW w:w="2810" w:type="dxa"/>
            <w:vMerge/>
            <w:shd w:val="clear" w:color="auto" w:fill="F3F3F3"/>
          </w:tcPr>
          <w:p w14:paraId="4EB5AFA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B1FABAD" w14:textId="6D9FCB5D"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909CCCF" w14:textId="0EBDF719"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3 - Szkic koncepcji zagospodarowania terenu inwestycji i jego otoczenia z zaznaczeniem budynk</w:t>
            </w:r>
            <w:r w:rsidR="00A77E1B">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tc>
      </w:tr>
      <w:tr w:rsidR="00B16B69" w:rsidRPr="00DD7B98" w14:paraId="3EC828CF" w14:textId="11D0EA8C" w:rsidTr="00A1703E">
        <w:trPr>
          <w:trHeight w:val="488"/>
        </w:trPr>
        <w:tc>
          <w:tcPr>
            <w:tcW w:w="2810" w:type="dxa"/>
            <w:shd w:val="clear" w:color="auto" w:fill="F3F3F3"/>
          </w:tcPr>
          <w:p w14:paraId="782B808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Sposób pomiaru powierzchni użytkowej lokalu mieszkalnego albo domu jednorodzinnego</w:t>
            </w:r>
          </w:p>
        </w:tc>
        <w:tc>
          <w:tcPr>
            <w:tcW w:w="6838" w:type="dxa"/>
            <w:gridSpan w:val="2"/>
          </w:tcPr>
          <w:p w14:paraId="37EDF476" w14:textId="55EA4DE9" w:rsidR="00B16B69" w:rsidRPr="00DD7B98" w:rsidRDefault="0068141D" w:rsidP="006C5700">
            <w:pPr>
              <w:spacing w:beforeLines="60" w:before="144" w:afterLines="60" w:after="144" w:line="240" w:lineRule="auto"/>
              <w:rPr>
                <w:rFonts w:ascii="Times New Roman" w:eastAsia="Times New Roman" w:hAnsi="Times New Roman" w:cs="Times New Roman"/>
                <w:sz w:val="20"/>
                <w:szCs w:val="20"/>
              </w:rPr>
            </w:pPr>
            <w:r w:rsidRPr="00FF1415">
              <w:rPr>
                <w:rFonts w:ascii="Times New Roman" w:eastAsia="Times New Roman" w:hAnsi="Times New Roman" w:cs="Times New Roman"/>
                <w:sz w:val="20"/>
                <w:szCs w:val="20"/>
              </w:rPr>
              <w:t xml:space="preserve">Stosownie do treści art. 5a ustawy z dnia 20 maja 2021 r. o ochronie praw nabywcy lokalu mieszkalnego lub domu jednorodzinnego oraz Deweloperskim Funduszu Gwarancyjnym cenę lokalu określa się jako iloczyn m2 jego powierzchni użytkowej oraz ceny za 1 m2 powierzchni użytkowej. Powierzchnię użytkową ustala się zgodnie z zasadami zawartymi w Polskiej Normie dotyczącej określania i obliczania wskaźników powierzchniowych i kubaturowych w budownictwie, obowiązującej w dniu złożenia wniosku o pozwolenie na budowę lub dokonania zgłoszenia budowy, o którym mowa w art. 29 ust. 1 pkt 1 ustawy z dnia 7 lipca 1994 r. - Prawo budowlane, dotyczącego lokalu, którego </w:t>
            </w:r>
            <w:r w:rsidRPr="00FF1415">
              <w:rPr>
                <w:rFonts w:ascii="Times New Roman" w:eastAsia="Times New Roman" w:hAnsi="Times New Roman" w:cs="Times New Roman"/>
                <w:sz w:val="20"/>
                <w:szCs w:val="20"/>
              </w:rPr>
              <w:lastRenderedPageBreak/>
              <w:t>powierzchnia jest ustalana. Mając na uwadze powyższe powierzchnia użytkowa została określona na podstawie Rozporządzenia Ministra Rozwoju z dnia 11  września 2020 r. w sprawie szczegółowego zakresu i formy projektu budowlanego, zgodnie z zasadami zawartymi w Polskiej Normie PN-ISO 9836 „Właściwości użytkowe w budownictwie – Określanie i obliczanie wskaźników powierzchniowych i kubaturowych”, wymienionej w załączniku do rozporządzenia, uwzględniając przepisy § 14 pkt 4 lit. a oraz § 20 ust. 1 pkt 4 lit. b. rozporządzenia, obowiązującej w dniu złożenia wniosku o pozwolenie na budowę.</w:t>
            </w:r>
          </w:p>
        </w:tc>
      </w:tr>
      <w:tr w:rsidR="00B16B69" w:rsidRPr="00DD7B98" w14:paraId="20C2AD70" w14:textId="77777777" w:rsidTr="00B16B69">
        <w:tc>
          <w:tcPr>
            <w:tcW w:w="2810" w:type="dxa"/>
            <w:vMerge w:val="restart"/>
            <w:shd w:val="clear" w:color="auto" w:fill="F3F3F3"/>
          </w:tcPr>
          <w:p w14:paraId="67BEC5AC" w14:textId="055B95B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Zamierzony sposób i procentowy udział źródeł finansowania przedsięwzięcia deweloperskiego lub zadania inwestycyjnego</w:t>
            </w:r>
          </w:p>
        </w:tc>
        <w:tc>
          <w:tcPr>
            <w:tcW w:w="3419" w:type="dxa"/>
          </w:tcPr>
          <w:p w14:paraId="1CB23898" w14:textId="73538960" w:rsidR="00B16B69" w:rsidRPr="00DD7B98" w:rsidDel="00E703EC"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Rodzaj posiadanych środków finansowych – kredyt, środki własne, inne</w:t>
            </w:r>
          </w:p>
        </w:tc>
        <w:tc>
          <w:tcPr>
            <w:tcW w:w="3419" w:type="dxa"/>
          </w:tcPr>
          <w:p w14:paraId="00EC240C" w14:textId="312C13BE" w:rsidR="00DD2681" w:rsidRPr="00DD2681" w:rsidRDefault="00DD2681" w:rsidP="00B953CB">
            <w:pPr>
              <w:spacing w:beforeLines="60" w:before="144" w:afterLines="60" w:after="144" w:line="240" w:lineRule="auto"/>
              <w:rPr>
                <w:rFonts w:ascii="Times New Roman" w:eastAsia="Times New Roman" w:hAnsi="Times New Roman" w:cs="Times New Roman"/>
                <w:sz w:val="20"/>
                <w:szCs w:val="20"/>
              </w:rPr>
            </w:pPr>
            <w:r w:rsidRPr="00DD2681">
              <w:rPr>
                <w:rFonts w:ascii="Times New Roman" w:eastAsia="Times New Roman" w:hAnsi="Times New Roman" w:cs="Times New Roman"/>
                <w:sz w:val="20"/>
                <w:szCs w:val="20"/>
              </w:rPr>
              <w:t>- ś</w:t>
            </w:r>
            <w:r w:rsidR="00496E5F" w:rsidRPr="00DD2681">
              <w:rPr>
                <w:rFonts w:ascii="Times New Roman" w:eastAsia="Times New Roman" w:hAnsi="Times New Roman" w:cs="Times New Roman"/>
                <w:sz w:val="20"/>
                <w:szCs w:val="20"/>
              </w:rPr>
              <w:t>rodki własne dewelopera</w:t>
            </w:r>
            <w:r w:rsidR="00091418">
              <w:rPr>
                <w:rFonts w:ascii="Times New Roman" w:eastAsia="Times New Roman" w:hAnsi="Times New Roman" w:cs="Times New Roman"/>
                <w:sz w:val="20"/>
                <w:szCs w:val="20"/>
              </w:rPr>
              <w:t xml:space="preserve"> – 60%,</w:t>
            </w:r>
          </w:p>
          <w:p w14:paraId="7C31E247" w14:textId="20B2D229" w:rsidR="00B16B69" w:rsidRPr="00DD7B98" w:rsidRDefault="00DD2681" w:rsidP="00B953CB">
            <w:pPr>
              <w:spacing w:beforeLines="60" w:before="144" w:afterLines="60" w:after="144" w:line="240" w:lineRule="auto"/>
              <w:rPr>
                <w:rFonts w:ascii="Times New Roman" w:eastAsia="Times New Roman" w:hAnsi="Times New Roman" w:cs="Times New Roman"/>
                <w:sz w:val="20"/>
                <w:szCs w:val="20"/>
              </w:rPr>
            </w:pPr>
            <w:r w:rsidRPr="00DD2681">
              <w:rPr>
                <w:rFonts w:ascii="Times New Roman" w:eastAsia="Times New Roman" w:hAnsi="Times New Roman" w:cs="Times New Roman"/>
                <w:sz w:val="20"/>
                <w:szCs w:val="20"/>
              </w:rPr>
              <w:t xml:space="preserve">- środki </w:t>
            </w:r>
            <w:r w:rsidR="00496E5F" w:rsidRPr="00DD2681">
              <w:rPr>
                <w:rFonts w:ascii="Times New Roman" w:eastAsia="Times New Roman" w:hAnsi="Times New Roman" w:cs="Times New Roman"/>
                <w:sz w:val="20"/>
                <w:szCs w:val="20"/>
              </w:rPr>
              <w:t>pochodzące z wpłat dokonywanych przez Nabywc</w:t>
            </w:r>
            <w:r w:rsidR="001A3521" w:rsidRPr="00DD2681">
              <w:rPr>
                <w:rFonts w:ascii="Times New Roman" w:eastAsia="Times New Roman" w:hAnsi="Times New Roman" w:cs="Times New Roman"/>
                <w:sz w:val="20"/>
                <w:szCs w:val="20"/>
              </w:rPr>
              <w:t>ów</w:t>
            </w:r>
            <w:r w:rsidR="00091418">
              <w:rPr>
                <w:rFonts w:ascii="Times New Roman" w:eastAsia="Times New Roman" w:hAnsi="Times New Roman" w:cs="Times New Roman"/>
                <w:sz w:val="20"/>
                <w:szCs w:val="20"/>
              </w:rPr>
              <w:t xml:space="preserve"> – 40%.</w:t>
            </w:r>
          </w:p>
        </w:tc>
      </w:tr>
      <w:tr w:rsidR="00B16B69" w:rsidRPr="00DD7B98" w14:paraId="2EE1B8BE" w14:textId="77777777" w:rsidTr="00B16B69">
        <w:tc>
          <w:tcPr>
            <w:tcW w:w="2810" w:type="dxa"/>
            <w:vMerge/>
            <w:shd w:val="clear" w:color="auto" w:fill="F3F3F3"/>
          </w:tcPr>
          <w:p w14:paraId="67846E0A" w14:textId="77777777" w:rsidR="00B16B69" w:rsidRPr="00DD7B98" w:rsidRDefault="00B16B69" w:rsidP="00B16B69">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7E52FE" w14:textId="403F795E"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następujących instytucjach finansowych (wypełnia się w przypadku kredytu)</w:t>
            </w:r>
          </w:p>
        </w:tc>
        <w:tc>
          <w:tcPr>
            <w:tcW w:w="3419" w:type="dxa"/>
          </w:tcPr>
          <w:p w14:paraId="2F42C08D" w14:textId="49551BEC" w:rsidR="00B16B69" w:rsidRPr="00DD7B98" w:rsidRDefault="00D950BE" w:rsidP="0052725D">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55676252" w14:textId="77777777" w:rsidTr="00B16B69">
        <w:trPr>
          <w:trHeight w:val="1481"/>
        </w:trPr>
        <w:tc>
          <w:tcPr>
            <w:tcW w:w="2810" w:type="dxa"/>
            <w:vMerge w:val="restart"/>
            <w:shd w:val="clear" w:color="auto" w:fill="F3F3F3"/>
          </w:tcPr>
          <w:p w14:paraId="24790A7F"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Środki ochrony nabywców</w:t>
            </w:r>
          </w:p>
        </w:tc>
        <w:tc>
          <w:tcPr>
            <w:tcW w:w="3419" w:type="dxa"/>
          </w:tcPr>
          <w:p w14:paraId="529469D3" w14:textId="07CB81A6"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Otwarty mieszkaniowy rachunek powierniczy*</w:t>
            </w:r>
          </w:p>
        </w:tc>
        <w:tc>
          <w:tcPr>
            <w:tcW w:w="3419" w:type="dxa"/>
          </w:tcPr>
          <w:p w14:paraId="22ACACA1" w14:textId="2539634C" w:rsidR="00F7371C" w:rsidRPr="00496E5F" w:rsidRDefault="00F7371C" w:rsidP="006C5700">
            <w:pPr>
              <w:spacing w:beforeLines="60" w:before="144" w:afterLines="60" w:after="144" w:line="240" w:lineRule="auto"/>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Zamknięty mieszkaniowy rachunek powierniczy*</w:t>
            </w:r>
          </w:p>
        </w:tc>
      </w:tr>
      <w:tr w:rsidR="00F7371C" w:rsidRPr="00DD7B98" w14:paraId="04073C89" w14:textId="77777777" w:rsidTr="00A1703E">
        <w:tc>
          <w:tcPr>
            <w:tcW w:w="2810" w:type="dxa"/>
            <w:vMerge/>
            <w:shd w:val="clear" w:color="auto" w:fill="F3F3F3"/>
          </w:tcPr>
          <w:p w14:paraId="2FA80805"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C488540" w14:textId="2625A7C0"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Wysokość stawki procentowej, według której jest obliczana kwota składki na Deweloperski Fundusz Gwarancyjny</w:t>
            </w:r>
            <w:r w:rsidRPr="00DD7B98">
              <w:rPr>
                <w:rStyle w:val="IGindeksgrny"/>
                <w:rFonts w:ascii="Times New Roman" w:hAnsi="Times New Roman" w:cs="Times New Roman"/>
                <w:sz w:val="20"/>
                <w:szCs w:val="20"/>
              </w:rPr>
              <w:footnoteReference w:id="7"/>
            </w:r>
            <w:r w:rsidRPr="00DD7B98">
              <w:rPr>
                <w:rStyle w:val="IGindeksgrny"/>
                <w:rFonts w:ascii="Times New Roman" w:hAnsi="Times New Roman" w:cs="Times New Roman"/>
                <w:sz w:val="20"/>
                <w:szCs w:val="20"/>
              </w:rPr>
              <w:t>)</w:t>
            </w:r>
          </w:p>
        </w:tc>
        <w:tc>
          <w:tcPr>
            <w:tcW w:w="3419" w:type="dxa"/>
          </w:tcPr>
          <w:p w14:paraId="652CD57E" w14:textId="02087BA3" w:rsidR="00F7371C" w:rsidRPr="00DD7B98" w:rsidRDefault="00496E5F" w:rsidP="00A67A63">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9327A6" w:rsidRPr="00DD7B98" w14:paraId="1AD61480" w14:textId="77777777" w:rsidTr="00A1703E">
        <w:tc>
          <w:tcPr>
            <w:tcW w:w="2810" w:type="dxa"/>
            <w:shd w:val="clear" w:color="auto" w:fill="F3F3F3"/>
          </w:tcPr>
          <w:p w14:paraId="24AA0D9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735045BD"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o prowadzenie otwartego mieszkaniowego rachunku powierniczego (dalej „Umowa”) została zawarta w celu zapewnienia ochrony wpłat dokonywanych przez Nabywców (dalej „Powierzający”) na podstawie umów wskazanych w ust. 2 Umowy, w tym umowy deweloperskiej, zawieranych w formie aktów notarialnych pomiędzy Deweloperem (dalej „Powiernik”) a Powierzającymi, zgodnie z przepisami ustawy z dnia 20 maja 2021 r. o ochronie praw nabywcy lokalu mieszkalnego lub domu jednorodzinnego oraz Deweloperskim Funduszu Gwarancyjnym (dalej „Ustawa”). </w:t>
            </w:r>
          </w:p>
          <w:p w14:paraId="1A090A30" w14:textId="77777777" w:rsidR="00A67A63" w:rsidRDefault="00A67A63" w:rsidP="00A67A6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Zgodnie z głównymi zasadami funkcjonowania otwartego mieszkaniowego rachunku powierniczego:</w:t>
            </w:r>
          </w:p>
          <w:p w14:paraId="63E0C09E" w14:textId="631922DD" w:rsidR="00A67A63" w:rsidRPr="00B73E4B" w:rsidRDefault="00A67A63" w:rsidP="00A67A63">
            <w:pPr>
              <w:pStyle w:val="Standard"/>
              <w:widowControl w:val="0"/>
              <w:spacing w:before="144" w:after="144"/>
              <w:rPr>
                <w:rFonts w:ascii="Times New Roman" w:eastAsia="Times New Roman" w:hAnsi="Times New Roman" w:cs="Times New Roman"/>
                <w:sz w:val="20"/>
                <w:szCs w:val="20"/>
                <w:lang w:eastAsia="pl-PL"/>
              </w:rPr>
            </w:pPr>
            <w:bookmarkStart w:id="2" w:name="_Hlk125121966"/>
            <w:r>
              <w:rPr>
                <w:rFonts w:ascii="Times New Roman" w:eastAsia="Times New Roman" w:hAnsi="Times New Roman" w:cs="Times New Roman"/>
                <w:sz w:val="20"/>
                <w:szCs w:val="20"/>
                <w:lang w:eastAsia="pl-PL"/>
              </w:rPr>
              <w:t xml:space="preserve">1. Bank otworzył na rzecz Powiernika otwarty mieszkaniowy rachunek powierniczy o </w:t>
            </w:r>
            <w:r w:rsidRPr="00FF1415">
              <w:rPr>
                <w:rFonts w:ascii="Times New Roman" w:eastAsia="Times New Roman" w:hAnsi="Times New Roman" w:cs="Times New Roman"/>
                <w:sz w:val="20"/>
                <w:szCs w:val="20"/>
                <w:lang w:eastAsia="pl-PL"/>
              </w:rPr>
              <w:t xml:space="preserve">numerze </w:t>
            </w:r>
            <w:r w:rsidR="0053053E">
              <w:rPr>
                <w:rFonts w:ascii="Times New Roman" w:eastAsia="Times New Roman" w:hAnsi="Times New Roman" w:cs="Times New Roman"/>
                <w:b/>
                <w:bCs/>
                <w:sz w:val="20"/>
                <w:szCs w:val="20"/>
                <w:lang w:eastAsia="pl-PL"/>
              </w:rPr>
              <w:t>76 9297 0005 0012 3868 2000 0097</w:t>
            </w:r>
            <w:r w:rsidRPr="00FF1415">
              <w:rPr>
                <w:rFonts w:ascii="Times New Roman" w:eastAsia="Times New Roman" w:hAnsi="Times New Roman" w:cs="Times New Roman"/>
                <w:sz w:val="20"/>
                <w:szCs w:val="20"/>
                <w:lang w:eastAsia="pl-PL"/>
              </w:rPr>
              <w:t xml:space="preserve"> w </w:t>
            </w:r>
            <w:r>
              <w:rPr>
                <w:rFonts w:ascii="Times New Roman" w:eastAsia="Times New Roman" w:hAnsi="Times New Roman" w:cs="Times New Roman"/>
                <w:sz w:val="20"/>
                <w:szCs w:val="20"/>
                <w:lang w:eastAsia="pl-PL"/>
              </w:rPr>
              <w:t>walucie PLN (dalej „OMRP”), na którym Bank ewidencjonuje wpłaty i wypłaty dokonywane przez Powierzających odrębnie dla każdego Powierzającego oraz otworzył powiązane z OMRP ewidencyjne  numery otwartych mieszkaniowych rachunków powierniczych dla każdego Powierzającego o numerach określonych w „Wykazie ewidencyjnych OMRP” stanowiącym załącznik nr 1 do Umowy. Wpłaty dokonywane na ewidencyjne mieszkaniowe rachunki powiernicze księgowane będą  na OMRP.</w:t>
            </w:r>
          </w:p>
          <w:p w14:paraId="404A6309"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 Bank zobowiązał się do przyjmowania i przechowywania środków pieniężnych wpłaconych przez Powierzającego na OMRP, z zastrzeżeniem wykonania przez Powiernika postanowień ust. 4 Umowy, oraz do realizacji dyspozycji Powiernika wypłat środków pieniężnych, zdeponowanych przez poszczególnych Powierzających na rachunek pomocniczy prowadzony w Banku, z zastrzeżeniem postanowień § 6, 8, 9 i 10 Umowy, lub do zwrotu środków pieniężnych Powierzającym w przypadkach określonych w Umowie.</w:t>
            </w:r>
          </w:p>
          <w:p w14:paraId="00C630DB"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Powiernik przyporządkowuje każdemu Powierzającemu ewidencyjny numer OMRP określony w Wykazie ewidencyjnych OMRP będącym załącznikiem nr 1 do Umowy. Ewidencyjny numer OMPR jest indywidualny i może być wykorzystany wyłącznie do jednej umowy zawartej z Powierzającym.</w:t>
            </w:r>
          </w:p>
          <w:p w14:paraId="4E4CFA34"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Środki pieniężne zgromadzone na OMRP są nieoprocentowane</w:t>
            </w:r>
          </w:p>
          <w:p w14:paraId="7A278304"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Powiernik jest zobowiązany do dokonywania terminowych wpłat składek na Deweloperski Fundusz Gwarancyjny (dalej „DFG”).</w:t>
            </w:r>
          </w:p>
          <w:p w14:paraId="58DA2BDC"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Powiernik jest zobowiązany do wyliczenia wysokości składki na DFG oraz do dokonania wpłaty należnej składki do Banku. Wpłata składki następuje na ewidencyjny rachunek składki prowadzony dla każdego Powierzającego, powiązany z OMRP.</w:t>
            </w:r>
          </w:p>
          <w:p w14:paraId="44D1770E"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 Składka przekazana do DFG nie podlega zwrotowi.</w:t>
            </w:r>
          </w:p>
          <w:p w14:paraId="32D12FA6"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 Bank otworzył ewidencyjny rachunek składki dla każdego Powierzającego, zgodnie z załącznikiem nr 8 do Umowy.</w:t>
            </w:r>
          </w:p>
          <w:p w14:paraId="1E1DCBCC"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Powiernik zobowiązany jest zawiadomić Bank o zakończeniu każdego etapu realizacji przedsięwzięcia deweloperskiego poprzez złożenie Zawiadomienia o zakończeniu etapu realizacji przedsięwzięcia deweloperskiego wraz z dyspozycją wypłaty, stanowiącego załącznik nr 4 do Umowy, oraz dokumentów wskazanych w Liście dokumentów do przeprowadzenia kontroli inwestycji wykonania poszczególnych etapów przedsięwzięcia deweloperskiego stanowiącej załącznik nr 6 do Umowy.</w:t>
            </w:r>
          </w:p>
          <w:p w14:paraId="78201870"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Bank dokonuje kontroli zakończenia każdego etapu przedsięwzięcia deweloperskiego. Koszty kontroli ponosi Powiernik.</w:t>
            </w:r>
          </w:p>
          <w:p w14:paraId="02567DE6"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W przypadku, gdy kontrola zakończenia danego etapu realizacji przedsięwzięcia deweloperskiego dała wynik negatywny, Bank, w terminie 5 dni roboczych od dnia zakończenia czynności kontrolnych poinformuje Powiernika  w formie pisemnej o odmowie wykonania dyspozycji wypłaty środków z OMRP wraz ze wskazaniem przyczyny oraz  o pobraniu z rachunku bieżącego Powiernika dodatkowej opłaty za sporządzenie raportu z kontroli zawierającego negatywną ocenę w wysokości określonej postanowieniami Umowy.</w:t>
            </w:r>
          </w:p>
          <w:p w14:paraId="4B2881BF"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Powiernik i Powierzający nie posiadają uprawnień do dysponowania środkami zgromadzonymi na OMRP, w tym w szczególności – składania dyspozycji wypłaty tych środków, za wyjątkiem sytuacji wskazanych wyraźnie w Umowie.</w:t>
            </w:r>
          </w:p>
          <w:p w14:paraId="6C066822"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Wypłaty z OMRP, będą dokonywane zgodnie z harmonogramem przedsięwzięcia deweloperskiego, o ile spełnione zostaną warunki określone w § 9 i 10 Umowy.</w:t>
            </w:r>
          </w:p>
          <w:p w14:paraId="4CD5D8D6" w14:textId="5AFD209B"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Powiernik zobowiązał się dysponować środkami wypłacanymi z OMPR wyłącznie w celu finansowania lub  refinansowania przedsięwzięcia deweloperskiego, dla którego jest prowadzony OMRP</w:t>
            </w:r>
            <w:r w:rsidR="003E7295">
              <w:rPr>
                <w:rFonts w:ascii="Times New Roman" w:eastAsia="Times New Roman" w:hAnsi="Times New Roman" w:cs="Times New Roman"/>
                <w:sz w:val="20"/>
                <w:szCs w:val="20"/>
                <w:lang w:eastAsia="pl-PL"/>
              </w:rPr>
              <w:t>.</w:t>
            </w:r>
          </w:p>
          <w:p w14:paraId="42EC6694"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Powierzający ma prawo do żądania szczegółowych informacji o wpłatach i wypłatach dokonanych na OMRP określony w umowie, której jest stroną, takich jak data oraz kwoty wpłat i wypłat, a Bank ma obowiązek przekazania informacji w tym zakresie.</w:t>
            </w:r>
          </w:p>
          <w:p w14:paraId="022817A2"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16. Wszelkie informacje dotyczące systemu gwarantowania środków pieniężnych, na podstawie Ustawy o Bankowym Funduszu Gwarancyjnym, są możliwe do </w:t>
            </w:r>
            <w:r>
              <w:rPr>
                <w:rFonts w:ascii="Times New Roman" w:eastAsia="Times New Roman" w:hAnsi="Times New Roman" w:cs="Times New Roman"/>
                <w:sz w:val="20"/>
                <w:szCs w:val="20"/>
                <w:lang w:eastAsia="pl-PL"/>
              </w:rPr>
              <w:lastRenderedPageBreak/>
              <w:t>uzyskania w placówkach lub na stronie internetowej Banku.</w:t>
            </w:r>
          </w:p>
          <w:p w14:paraId="571F497D"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 Powiernik zobowiązany jest do przekazania Bankowi danych personalnych Powierzającego, w celu jego identyfikacji jako deponenta, na potrzeby realizacji obowiązków wynikających z Ustawy o Bankowym Funduszu Gwarancyjnym, w postaci Informacji o Powierzającym  – której wzór stanowi załącznik nr 7 do Umowy, w terminie do 3 dni od dnia podpisania umowy, o której mowa w  § 1 ust. 2-4 Umowy.</w:t>
            </w:r>
          </w:p>
          <w:p w14:paraId="66531D9F"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Umowa zawarta jest na czas oznaczony, tj. do  dnia, w którym nastąpi przeniesienie praw z ostatniej umowy, o której mowa w § 1 ust. 2-4 Umowy, w ramach  przedsięwzięcia deweloperskiego. </w:t>
            </w:r>
          </w:p>
          <w:p w14:paraId="1DA44C1C"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19. Zamknięcie OMPR następuje na wniosek Powiernika, jednak nie wcześniej niż do czasu rozliczenia ostatniego rachunku Powierzającego, tj. przejścia całej kwoty należnej Powiernikowi przez OMRP. </w:t>
            </w:r>
          </w:p>
          <w:p w14:paraId="43087E80"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20. Bank zamknie  OMRP na wniosek Powiernika po złożeniu przez Powiernika na piśmie oświadczenia, że  w stosunku do lokali jakie pozostały w przedsięwzięciu deweloperskim nie będzie zawierał umów, o których mowa w § 1 ust. 2-4 Umowy albo oświadczenia, że  przeniósł prawa do wszystkich lokali objętych przedsięwzięciem deweloperskim.   </w:t>
            </w:r>
          </w:p>
          <w:p w14:paraId="37E9D469"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Strony dopuściły możliwość rozwiązania Umowy za porozumieniem Stron, w przypadku nie uzyskania przez Powiernika finansowania na inwestycję.</w:t>
            </w:r>
          </w:p>
          <w:p w14:paraId="208686CE"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Prawo wypowiedzenia Umowy posiada jedynie Bank i wyłącznie z ważnych powodów wskazanych w Umowie (§ 25 ust., 2 Umowy wskazuje ważne powody). Termin wypowiedzenia Umowy wynosi 60 dni, z zastrzeżeniem że termin ten ulega skróceniu, w przypadku gdy przed jego upływem Deweloper zawrze umowę mieszkaniowego rachunku powierniczego z innym bankiem.</w:t>
            </w:r>
          </w:p>
          <w:p w14:paraId="63EE4B53" w14:textId="77777777" w:rsidR="00A67A63" w:rsidRDefault="00A67A63" w:rsidP="00A67A63">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 W przypadku wypowiedzenia Umowy, Powiernik zobowiązany jest niezwłocznie założyć nowy mieszkaniowy rachunek powierniczy w innym banku, jednak nie później niż w terminie 60 dni kalendarzowych od dnia wypowiedzenia Umowy z zastrzeżeniem że przedmiotem zawieranej umowy jest prowadzenie takiego samego rodzaju mieszkaniowego rachunku powierniczego, jak w przypadku Umowy, która została wypowiedziana.</w:t>
            </w:r>
          </w:p>
          <w:p w14:paraId="47CC9BB9" w14:textId="77777777" w:rsidR="00A67A63" w:rsidRDefault="00A67A63" w:rsidP="00A67A63">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w:t>
            </w:r>
          </w:p>
          <w:p w14:paraId="686C3910" w14:textId="0F7EE99E" w:rsidR="002F7575" w:rsidRPr="00DD7B98" w:rsidRDefault="00A67A63" w:rsidP="00A67A63">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25. W przypadku gdy Powiernik nie przedstawi oświadczenia banku, o którym mowa powyżej, w terminie 60 dni od dnia wypowiedzenia umowy mieszkaniowego rachunku powierniczego, Bank niezwłocznie zwraca Powierzającym środki znajdujące się na OMRP.</w:t>
            </w:r>
            <w:bookmarkEnd w:id="2"/>
          </w:p>
        </w:tc>
      </w:tr>
      <w:tr w:rsidR="009327A6" w:rsidRPr="00DD7B98" w14:paraId="76D3A109" w14:textId="77777777" w:rsidTr="00A1703E">
        <w:trPr>
          <w:trHeight w:val="293"/>
        </w:trPr>
        <w:tc>
          <w:tcPr>
            <w:tcW w:w="2810" w:type="dxa"/>
            <w:shd w:val="clear" w:color="auto" w:fill="F3F3F3"/>
          </w:tcPr>
          <w:p w14:paraId="21DD2561"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3BEFBA87" w14:textId="3BBFCB23" w:rsidR="009327A6" w:rsidRPr="00DD7B98" w:rsidRDefault="00A67A63" w:rsidP="00282D6F">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Bank Spółdzielczy w Skierniewicach z siedzibą w Skierniewicach, ul. Reymonta 25, 96-100 Skierniewice, którego dokumentacja jest przechowywana w Sądzie Rejonowym dla Łodzi- Śródmieścia w Łodzi, XX Wydział Krajowego Rejestru Sądowego, wpisany do rejestru przedsiębiorców pod numerem KRS 0000105572, NIP 836-00-06-262, REGON 000503221.</w:t>
            </w:r>
          </w:p>
        </w:tc>
      </w:tr>
      <w:tr w:rsidR="009327A6" w:rsidRPr="00DD7B98" w14:paraId="25B59E33" w14:textId="77777777" w:rsidTr="006E1C90">
        <w:trPr>
          <w:trHeight w:val="5550"/>
        </w:trPr>
        <w:tc>
          <w:tcPr>
            <w:tcW w:w="2810" w:type="dxa"/>
            <w:shd w:val="clear" w:color="auto" w:fill="F3F3F3"/>
          </w:tcPr>
          <w:p w14:paraId="2FD5C7DD" w14:textId="77777777" w:rsidR="009327A6" w:rsidRPr="00196889" w:rsidRDefault="009327A6" w:rsidP="006C5700">
            <w:pPr>
              <w:spacing w:beforeLines="60" w:before="144" w:afterLines="60" w:after="144" w:line="240" w:lineRule="auto"/>
              <w:rPr>
                <w:rFonts w:ascii="Times New Roman" w:eastAsia="Times New Roman" w:hAnsi="Times New Roman" w:cs="Times New Roman"/>
                <w:sz w:val="20"/>
                <w:szCs w:val="20"/>
              </w:rPr>
            </w:pPr>
            <w:r w:rsidRPr="00196889">
              <w:rPr>
                <w:rFonts w:ascii="Times New Roman" w:eastAsia="Times New Roman" w:hAnsi="Times New Roman" w:cs="Times New Roman"/>
                <w:sz w:val="20"/>
                <w:szCs w:val="20"/>
              </w:rPr>
              <w:lastRenderedPageBreak/>
              <w:t>Harmonogram przedsięwzięcia deweloperskiego lub zadania inwestycyjnego</w:t>
            </w:r>
          </w:p>
        </w:tc>
        <w:tc>
          <w:tcPr>
            <w:tcW w:w="6838" w:type="dxa"/>
            <w:gridSpan w:val="2"/>
          </w:tcPr>
          <w:p w14:paraId="29753AF0" w14:textId="4700FA0C" w:rsidR="00083AEA" w:rsidRPr="00DD0A98" w:rsidRDefault="00083AEA" w:rsidP="00282D6F">
            <w:pPr>
              <w:pStyle w:val="Standard"/>
              <w:widowControl w:val="0"/>
              <w:spacing w:before="144" w:after="144"/>
              <w:rPr>
                <w:rFonts w:ascii="Times New Roman" w:eastAsia="Times New Roman" w:hAnsi="Times New Roman" w:cs="Times New Roman"/>
                <w:sz w:val="20"/>
                <w:szCs w:val="20"/>
              </w:rPr>
            </w:pPr>
            <w:r w:rsidRPr="00DD0A98">
              <w:rPr>
                <w:rFonts w:ascii="Times New Roman" w:eastAsia="Times New Roman" w:hAnsi="Times New Roman" w:cs="Times New Roman"/>
                <w:sz w:val="20"/>
                <w:szCs w:val="20"/>
              </w:rPr>
              <w:t xml:space="preserve">Etap I – </w:t>
            </w:r>
            <w:bookmarkStart w:id="3" w:name="_Hlk169418628"/>
            <w:r w:rsidR="00A67A63" w:rsidRPr="00DD0A98">
              <w:rPr>
                <w:rFonts w:ascii="Times New Roman" w:eastAsia="Times New Roman" w:hAnsi="Times New Roman" w:cs="Times New Roman"/>
                <w:sz w:val="20"/>
                <w:szCs w:val="20"/>
              </w:rPr>
              <w:t xml:space="preserve">nabycie nieruchomości, projekt budowlany, pozwolenie na budowę </w:t>
            </w:r>
            <w:r w:rsidRPr="00DD0A98">
              <w:rPr>
                <w:rFonts w:ascii="Times New Roman" w:eastAsia="Times New Roman" w:hAnsi="Times New Roman" w:cs="Times New Roman"/>
                <w:sz w:val="20"/>
                <w:szCs w:val="20"/>
              </w:rPr>
              <w:t xml:space="preserve">  – 25% </w:t>
            </w:r>
            <w:r w:rsidR="00F2168A" w:rsidRPr="00DD0A98">
              <w:rPr>
                <w:rFonts w:ascii="Times New Roman" w:eastAsia="Times New Roman" w:hAnsi="Times New Roman" w:cs="Times New Roman"/>
                <w:sz w:val="20"/>
                <w:szCs w:val="20"/>
              </w:rPr>
              <w:t xml:space="preserve">– planowany termin zakończenia do dnia </w:t>
            </w:r>
            <w:r w:rsidR="004B265C">
              <w:rPr>
                <w:rFonts w:ascii="Times New Roman" w:eastAsia="Times New Roman" w:hAnsi="Times New Roman" w:cs="Times New Roman"/>
                <w:b/>
                <w:bCs/>
                <w:sz w:val="20"/>
                <w:szCs w:val="20"/>
                <w:lang w:eastAsia="pl-PL"/>
              </w:rPr>
              <w:t>31.05</w:t>
            </w:r>
            <w:r w:rsidR="00805034">
              <w:rPr>
                <w:rFonts w:ascii="Times New Roman" w:eastAsia="Times New Roman" w:hAnsi="Times New Roman" w:cs="Times New Roman"/>
                <w:b/>
                <w:bCs/>
                <w:sz w:val="20"/>
                <w:szCs w:val="20"/>
                <w:lang w:eastAsia="pl-PL"/>
              </w:rPr>
              <w:t>.2026</w:t>
            </w:r>
            <w:r w:rsidR="00DD0A98" w:rsidRPr="00DD0A98">
              <w:rPr>
                <w:rFonts w:ascii="Times New Roman" w:eastAsia="Times New Roman" w:hAnsi="Times New Roman" w:cs="Times New Roman"/>
                <w:b/>
                <w:bCs/>
                <w:sz w:val="20"/>
                <w:szCs w:val="20"/>
                <w:lang w:eastAsia="pl-PL"/>
              </w:rPr>
              <w:t xml:space="preserve"> </w:t>
            </w:r>
            <w:r w:rsidR="00DD0A98" w:rsidRPr="00DD0A98">
              <w:rPr>
                <w:rFonts w:ascii="Times New Roman" w:eastAsia="Times New Roman" w:hAnsi="Times New Roman" w:cs="Times New Roman"/>
                <w:b/>
                <w:bCs/>
                <w:sz w:val="20"/>
                <w:szCs w:val="20"/>
              </w:rPr>
              <w:t>r.</w:t>
            </w:r>
            <w:bookmarkEnd w:id="3"/>
          </w:p>
          <w:p w14:paraId="551DA53B" w14:textId="2BA71258" w:rsidR="00F2168A" w:rsidRPr="00805034" w:rsidRDefault="00083AEA" w:rsidP="00282D6F">
            <w:pPr>
              <w:pStyle w:val="Standard"/>
              <w:widowControl w:val="0"/>
              <w:spacing w:before="144" w:after="144"/>
              <w:rPr>
                <w:rFonts w:ascii="Times New Roman" w:eastAsia="Times New Roman" w:hAnsi="Times New Roman" w:cs="Times New Roman"/>
                <w:sz w:val="20"/>
                <w:szCs w:val="20"/>
              </w:rPr>
            </w:pPr>
            <w:bookmarkStart w:id="4" w:name="_Hlk169418650"/>
            <w:r w:rsidRPr="00DD0A98">
              <w:rPr>
                <w:rFonts w:ascii="Times New Roman" w:eastAsia="Times New Roman" w:hAnsi="Times New Roman"/>
                <w:bCs/>
                <w:sz w:val="20"/>
                <w:szCs w:val="20"/>
                <w:lang w:eastAsia="pl-PL"/>
              </w:rPr>
              <w:t xml:space="preserve">Etap II </w:t>
            </w:r>
            <w:r w:rsidR="00B953CB" w:rsidRPr="00DD0A98">
              <w:rPr>
                <w:rFonts w:ascii="Times New Roman" w:eastAsia="Times New Roman" w:hAnsi="Times New Roman" w:cs="Times New Roman"/>
                <w:sz w:val="20"/>
                <w:szCs w:val="20"/>
              </w:rPr>
              <w:t xml:space="preserve">– </w:t>
            </w:r>
            <w:r w:rsidR="007476E6" w:rsidRPr="00DD0A98">
              <w:rPr>
                <w:rFonts w:ascii="Times New Roman" w:eastAsia="Times New Roman" w:hAnsi="Times New Roman"/>
                <w:bCs/>
                <w:sz w:val="20"/>
                <w:szCs w:val="20"/>
                <w:lang w:eastAsia="pl-PL"/>
              </w:rPr>
              <w:t>roboty przygotowawcze, roboty ziemne, wykonanie fundamentów, izolacja przeciwwilgociowa fundamentów, izolacja cieplna fundamentów, wykonanie kanalizacji podziemnej i przepustów technicznych na pozostałe instalacje</w:t>
            </w:r>
            <w:r w:rsidR="00F2168A" w:rsidRPr="00DD0A98">
              <w:rPr>
                <w:rFonts w:ascii="Times New Roman" w:eastAsia="Times New Roman" w:hAnsi="Times New Roman"/>
                <w:bCs/>
                <w:sz w:val="20"/>
                <w:szCs w:val="20"/>
                <w:lang w:eastAsia="pl-PL"/>
              </w:rPr>
              <w:t xml:space="preserve">, </w:t>
            </w:r>
            <w:r w:rsidR="007476E6" w:rsidRPr="00DD0A98">
              <w:rPr>
                <w:rFonts w:ascii="Times New Roman" w:eastAsia="Times New Roman" w:hAnsi="Times New Roman"/>
                <w:bCs/>
                <w:sz w:val="20"/>
                <w:szCs w:val="20"/>
                <w:lang w:eastAsia="pl-PL"/>
              </w:rPr>
              <w:t>wymurowanie ścian zewnętrznych i konstrukcyjnych poziomu parteru</w:t>
            </w:r>
            <w:r w:rsidR="00B953CB" w:rsidRPr="00DD0A98">
              <w:rPr>
                <w:rFonts w:ascii="Times New Roman" w:eastAsia="Times New Roman" w:hAnsi="Times New Roman" w:cs="Times New Roman"/>
                <w:sz w:val="20"/>
                <w:szCs w:val="20"/>
              </w:rPr>
              <w:t xml:space="preserve">  – 25% – </w:t>
            </w:r>
            <w:r w:rsidR="007476E6" w:rsidRPr="00DD0A98">
              <w:rPr>
                <w:rFonts w:ascii="Times New Roman" w:eastAsia="Times New Roman" w:hAnsi="Times New Roman" w:cs="Times New Roman"/>
                <w:sz w:val="20"/>
                <w:szCs w:val="20"/>
              </w:rPr>
              <w:t xml:space="preserve">planowany termin zakończenia </w:t>
            </w:r>
            <w:r w:rsidR="00F2168A" w:rsidRPr="00805034">
              <w:rPr>
                <w:rFonts w:ascii="Times New Roman" w:eastAsia="Times New Roman" w:hAnsi="Times New Roman" w:cs="Times New Roman"/>
                <w:sz w:val="20"/>
                <w:szCs w:val="20"/>
              </w:rPr>
              <w:t>do dnia</w:t>
            </w:r>
            <w:r w:rsidR="00F5181D" w:rsidRPr="00805034">
              <w:rPr>
                <w:rFonts w:ascii="Times New Roman" w:eastAsia="Times New Roman" w:hAnsi="Times New Roman" w:cs="Times New Roman"/>
                <w:sz w:val="20"/>
                <w:szCs w:val="20"/>
              </w:rPr>
              <w:t xml:space="preserve"> </w:t>
            </w:r>
            <w:r w:rsidR="00805034">
              <w:rPr>
                <w:rFonts w:ascii="Times New Roman" w:eastAsia="Times New Roman" w:hAnsi="Times New Roman" w:cs="Times New Roman"/>
                <w:b/>
                <w:bCs/>
                <w:sz w:val="20"/>
                <w:szCs w:val="20"/>
                <w:lang w:eastAsia="pl-PL"/>
              </w:rPr>
              <w:t>31.07.2026</w:t>
            </w:r>
            <w:r w:rsidR="00DD0A98" w:rsidRPr="00805034">
              <w:rPr>
                <w:rFonts w:ascii="Times New Roman" w:eastAsia="Times New Roman" w:hAnsi="Times New Roman" w:cs="Times New Roman"/>
                <w:b/>
                <w:bCs/>
                <w:sz w:val="20"/>
                <w:szCs w:val="20"/>
                <w:lang w:eastAsia="pl-PL"/>
              </w:rPr>
              <w:t xml:space="preserve"> </w:t>
            </w:r>
            <w:r w:rsidR="00DD0A98" w:rsidRPr="00805034">
              <w:rPr>
                <w:rFonts w:ascii="Times New Roman" w:eastAsia="Times New Roman" w:hAnsi="Times New Roman" w:cs="Times New Roman"/>
                <w:b/>
                <w:bCs/>
                <w:sz w:val="20"/>
                <w:szCs w:val="20"/>
              </w:rPr>
              <w:t>r.</w:t>
            </w:r>
          </w:p>
          <w:p w14:paraId="14C9ED79" w14:textId="35C076A9" w:rsidR="00083AEA" w:rsidRPr="00805034" w:rsidRDefault="00083AEA" w:rsidP="00282D6F">
            <w:pPr>
              <w:pStyle w:val="Standard"/>
              <w:widowControl w:val="0"/>
              <w:spacing w:before="144" w:after="144"/>
              <w:rPr>
                <w:rFonts w:ascii="Times New Roman" w:eastAsia="Times New Roman" w:hAnsi="Times New Roman" w:cs="Times New Roman"/>
                <w:sz w:val="20"/>
                <w:szCs w:val="20"/>
              </w:rPr>
            </w:pPr>
            <w:bookmarkStart w:id="5" w:name="_Hlk169418673"/>
            <w:bookmarkEnd w:id="4"/>
            <w:r w:rsidRPr="00805034">
              <w:rPr>
                <w:rFonts w:ascii="Times New Roman" w:eastAsia="Times New Roman" w:hAnsi="Times New Roman" w:cs="Times New Roman"/>
                <w:sz w:val="20"/>
                <w:szCs w:val="20"/>
              </w:rPr>
              <w:t xml:space="preserve">Etap III </w:t>
            </w:r>
            <w:r w:rsidR="00B953CB" w:rsidRPr="00805034">
              <w:rPr>
                <w:rFonts w:ascii="Times New Roman" w:eastAsia="Times New Roman" w:hAnsi="Times New Roman" w:cs="Times New Roman"/>
                <w:sz w:val="20"/>
                <w:szCs w:val="20"/>
              </w:rPr>
              <w:t>–</w:t>
            </w:r>
            <w:r w:rsidR="009362C7" w:rsidRPr="00805034">
              <w:rPr>
                <w:rFonts w:ascii="Times New Roman" w:eastAsia="Times New Roman" w:hAnsi="Times New Roman" w:cs="Times New Roman"/>
                <w:sz w:val="20"/>
                <w:szCs w:val="20"/>
              </w:rPr>
              <w:t xml:space="preserve"> </w:t>
            </w:r>
            <w:r w:rsidR="007476E6" w:rsidRPr="00805034">
              <w:rPr>
                <w:rFonts w:ascii="Times New Roman" w:eastAsia="Times New Roman" w:hAnsi="Times New Roman" w:cs="Times New Roman"/>
                <w:sz w:val="20"/>
                <w:szCs w:val="20"/>
              </w:rPr>
              <w:t>wykonanie klatek schodowych, stropów nad poziomem parteru, wymurowanie ścian zewnętrznych i konstrukcyjnych poziomu piętra, wymurowanie ścian wewnętrznych poziomu parteru i piętra,</w:t>
            </w:r>
            <w:r w:rsidR="00196889" w:rsidRPr="00805034">
              <w:rPr>
                <w:rFonts w:ascii="Times New Roman" w:eastAsia="Times New Roman" w:hAnsi="Times New Roman" w:cs="Times New Roman"/>
                <w:sz w:val="20"/>
                <w:szCs w:val="20"/>
              </w:rPr>
              <w:t xml:space="preserve"> wykonanie</w:t>
            </w:r>
            <w:r w:rsidR="00F2168A" w:rsidRPr="00805034">
              <w:rPr>
                <w:rFonts w:ascii="Times New Roman" w:eastAsia="Times New Roman" w:hAnsi="Times New Roman" w:cs="Times New Roman"/>
                <w:sz w:val="20"/>
                <w:szCs w:val="20"/>
              </w:rPr>
              <w:t xml:space="preserve"> stropów nad poziomem piętra, </w:t>
            </w:r>
            <w:r w:rsidR="00196889" w:rsidRPr="00805034">
              <w:rPr>
                <w:rFonts w:ascii="Times New Roman" w:eastAsia="Times New Roman" w:hAnsi="Times New Roman" w:cs="Times New Roman"/>
                <w:sz w:val="20"/>
                <w:szCs w:val="20"/>
              </w:rPr>
              <w:t xml:space="preserve"> </w:t>
            </w:r>
            <w:r w:rsidR="00F2168A" w:rsidRPr="00805034">
              <w:rPr>
                <w:rFonts w:ascii="Times New Roman" w:eastAsia="Times New Roman" w:hAnsi="Times New Roman" w:cs="Times New Roman"/>
                <w:sz w:val="20"/>
                <w:szCs w:val="20"/>
              </w:rPr>
              <w:t>wykonanie pokryć dachowych</w:t>
            </w:r>
            <w:r w:rsidR="00DD0A98" w:rsidRPr="00805034">
              <w:rPr>
                <w:rFonts w:ascii="Times New Roman" w:eastAsia="Times New Roman" w:hAnsi="Times New Roman" w:cs="Times New Roman"/>
                <w:sz w:val="20"/>
                <w:szCs w:val="20"/>
              </w:rPr>
              <w:t xml:space="preserve"> bez obróbek blacharskich</w:t>
            </w:r>
            <w:r w:rsidR="007476E6" w:rsidRPr="00805034">
              <w:rPr>
                <w:rFonts w:ascii="Times New Roman" w:eastAsia="Times New Roman" w:hAnsi="Times New Roman" w:cs="Times New Roman"/>
                <w:sz w:val="20"/>
                <w:szCs w:val="20"/>
              </w:rPr>
              <w:t xml:space="preserve">  </w:t>
            </w:r>
            <w:r w:rsidR="00B953CB" w:rsidRPr="00805034">
              <w:rPr>
                <w:rFonts w:ascii="Times New Roman" w:eastAsia="Times New Roman" w:hAnsi="Times New Roman" w:cs="Times New Roman"/>
                <w:sz w:val="20"/>
                <w:szCs w:val="20"/>
              </w:rPr>
              <w:t xml:space="preserve">– 25% </w:t>
            </w:r>
            <w:r w:rsidR="00F2168A" w:rsidRPr="00805034">
              <w:rPr>
                <w:rFonts w:ascii="Times New Roman" w:eastAsia="Times New Roman" w:hAnsi="Times New Roman" w:cs="Times New Roman"/>
                <w:sz w:val="20"/>
                <w:szCs w:val="20"/>
              </w:rPr>
              <w:t xml:space="preserve">– planowany termin zakończenia do dnia </w:t>
            </w:r>
            <w:r w:rsidR="004B265C">
              <w:rPr>
                <w:rFonts w:ascii="Times New Roman" w:eastAsia="Times New Roman" w:hAnsi="Times New Roman" w:cs="Times New Roman"/>
                <w:b/>
                <w:bCs/>
                <w:sz w:val="20"/>
                <w:szCs w:val="20"/>
                <w:lang w:eastAsia="pl-PL"/>
              </w:rPr>
              <w:t>31.10.2026</w:t>
            </w:r>
            <w:r w:rsidR="00DD0A98" w:rsidRPr="00805034">
              <w:rPr>
                <w:rFonts w:ascii="Times New Roman" w:eastAsia="Times New Roman" w:hAnsi="Times New Roman" w:cs="Times New Roman"/>
                <w:b/>
                <w:bCs/>
                <w:sz w:val="20"/>
                <w:szCs w:val="20"/>
                <w:lang w:eastAsia="pl-PL"/>
              </w:rPr>
              <w:t xml:space="preserve"> </w:t>
            </w:r>
            <w:r w:rsidR="00DD0A98" w:rsidRPr="00805034">
              <w:rPr>
                <w:rFonts w:ascii="Times New Roman" w:eastAsia="Times New Roman" w:hAnsi="Times New Roman" w:cs="Times New Roman"/>
                <w:b/>
                <w:bCs/>
                <w:sz w:val="20"/>
                <w:szCs w:val="20"/>
              </w:rPr>
              <w:t>r.</w:t>
            </w:r>
          </w:p>
          <w:p w14:paraId="21A809EF" w14:textId="34B43A93" w:rsidR="00083AEA" w:rsidRPr="00805034" w:rsidRDefault="00083AEA" w:rsidP="00282D6F">
            <w:pPr>
              <w:pStyle w:val="Standard"/>
              <w:widowControl w:val="0"/>
              <w:spacing w:before="144" w:after="144"/>
              <w:rPr>
                <w:rFonts w:ascii="Times New Roman" w:eastAsia="Times New Roman" w:hAnsi="Times New Roman" w:cs="Times New Roman"/>
                <w:sz w:val="20"/>
                <w:szCs w:val="20"/>
              </w:rPr>
            </w:pPr>
            <w:bookmarkStart w:id="6" w:name="_Hlk169418692"/>
            <w:bookmarkEnd w:id="5"/>
            <w:r w:rsidRPr="00805034">
              <w:rPr>
                <w:rFonts w:ascii="Times New Roman" w:eastAsia="Times New Roman" w:hAnsi="Times New Roman" w:cs="Times New Roman"/>
                <w:sz w:val="20"/>
                <w:szCs w:val="20"/>
              </w:rPr>
              <w:t xml:space="preserve">Etap IV </w:t>
            </w:r>
            <w:r w:rsidR="00B953CB" w:rsidRPr="00805034">
              <w:rPr>
                <w:rFonts w:ascii="Times New Roman" w:eastAsia="Times New Roman" w:hAnsi="Times New Roman" w:cs="Times New Roman"/>
                <w:sz w:val="20"/>
                <w:szCs w:val="20"/>
              </w:rPr>
              <w:t>–</w:t>
            </w:r>
            <w:r w:rsidR="0017112E" w:rsidRPr="00805034">
              <w:rPr>
                <w:rFonts w:ascii="Times New Roman" w:eastAsia="Times New Roman" w:hAnsi="Times New Roman" w:cs="Times New Roman"/>
                <w:sz w:val="20"/>
                <w:szCs w:val="20"/>
              </w:rPr>
              <w:t xml:space="preserve"> </w:t>
            </w:r>
            <w:r w:rsidR="007476E6" w:rsidRPr="00805034">
              <w:rPr>
                <w:rFonts w:ascii="Times New Roman" w:eastAsia="Times New Roman" w:hAnsi="Times New Roman"/>
                <w:bCs/>
                <w:sz w:val="20"/>
                <w:szCs w:val="20"/>
                <w:lang w:eastAsia="pl-PL"/>
              </w:rPr>
              <w:t xml:space="preserve">montaż stolarki okiennej i drzwiowej,  wykonanie instalacji wewnętrznych, </w:t>
            </w:r>
            <w:r w:rsidR="00196889" w:rsidRPr="00805034">
              <w:rPr>
                <w:rFonts w:ascii="Times New Roman" w:eastAsia="Times New Roman" w:hAnsi="Times New Roman"/>
                <w:bCs/>
                <w:sz w:val="20"/>
                <w:szCs w:val="20"/>
                <w:lang w:eastAsia="pl-PL"/>
              </w:rPr>
              <w:t xml:space="preserve"> </w:t>
            </w:r>
            <w:r w:rsidR="007476E6" w:rsidRPr="00805034">
              <w:rPr>
                <w:rFonts w:ascii="Times New Roman" w:eastAsia="Times New Roman" w:hAnsi="Times New Roman"/>
                <w:bCs/>
                <w:sz w:val="20"/>
                <w:szCs w:val="20"/>
                <w:lang w:eastAsia="pl-PL"/>
              </w:rPr>
              <w:t>wykonanie tynków, wykonanie posadzek, wykonanie ocieplenia i elewacji</w:t>
            </w:r>
            <w:r w:rsidR="00DD0A98" w:rsidRPr="00805034">
              <w:rPr>
                <w:rFonts w:ascii="Times New Roman" w:eastAsia="Times New Roman" w:hAnsi="Times New Roman"/>
                <w:bCs/>
                <w:sz w:val="20"/>
                <w:szCs w:val="20"/>
                <w:lang w:eastAsia="pl-PL"/>
              </w:rPr>
              <w:t xml:space="preserve"> oraz obróbek blacharskich</w:t>
            </w:r>
            <w:r w:rsidR="00B953CB" w:rsidRPr="00805034">
              <w:rPr>
                <w:rFonts w:ascii="Times New Roman" w:eastAsia="Times New Roman" w:hAnsi="Times New Roman" w:cs="Times New Roman"/>
                <w:sz w:val="20"/>
                <w:szCs w:val="20"/>
              </w:rPr>
              <w:t xml:space="preserve">  – 15% </w:t>
            </w:r>
            <w:r w:rsidR="00F2168A" w:rsidRPr="00805034">
              <w:rPr>
                <w:rFonts w:ascii="Times New Roman" w:eastAsia="Times New Roman" w:hAnsi="Times New Roman" w:cs="Times New Roman"/>
                <w:sz w:val="20"/>
                <w:szCs w:val="20"/>
              </w:rPr>
              <w:t xml:space="preserve">– planowany termin zakończenia do dnia </w:t>
            </w:r>
            <w:r w:rsidR="00B66015" w:rsidRPr="00805034">
              <w:rPr>
                <w:rFonts w:ascii="Times New Roman" w:eastAsia="Times New Roman" w:hAnsi="Times New Roman" w:cs="Times New Roman"/>
                <w:b/>
                <w:bCs/>
                <w:sz w:val="20"/>
                <w:szCs w:val="20"/>
              </w:rPr>
              <w:t xml:space="preserve"> </w:t>
            </w:r>
            <w:r w:rsidR="004B265C">
              <w:rPr>
                <w:rFonts w:ascii="Times New Roman" w:eastAsia="Times New Roman" w:hAnsi="Times New Roman" w:cs="Times New Roman"/>
                <w:b/>
                <w:bCs/>
                <w:sz w:val="20"/>
                <w:szCs w:val="20"/>
                <w:lang w:eastAsia="pl-PL"/>
              </w:rPr>
              <w:t xml:space="preserve">30.04.2027 </w:t>
            </w:r>
            <w:r w:rsidR="00DD0A98" w:rsidRPr="00805034">
              <w:rPr>
                <w:rFonts w:ascii="Times New Roman" w:eastAsia="Times New Roman" w:hAnsi="Times New Roman" w:cs="Times New Roman"/>
                <w:b/>
                <w:bCs/>
                <w:sz w:val="20"/>
                <w:szCs w:val="20"/>
              </w:rPr>
              <w:t>r.</w:t>
            </w:r>
          </w:p>
          <w:p w14:paraId="37612AD9" w14:textId="721EC2A7" w:rsidR="009327A6" w:rsidRPr="00DD7B98" w:rsidRDefault="00083AEA" w:rsidP="00282D6F">
            <w:pPr>
              <w:spacing w:beforeLines="60" w:before="144" w:afterLines="60" w:after="144" w:line="240" w:lineRule="auto"/>
              <w:rPr>
                <w:rFonts w:ascii="Times New Roman" w:eastAsia="Times New Roman" w:hAnsi="Times New Roman" w:cs="Times New Roman"/>
                <w:sz w:val="20"/>
                <w:szCs w:val="20"/>
              </w:rPr>
            </w:pPr>
            <w:bookmarkStart w:id="7" w:name="_Hlk169418708"/>
            <w:bookmarkEnd w:id="6"/>
            <w:r w:rsidRPr="00805034">
              <w:rPr>
                <w:rFonts w:ascii="Times New Roman" w:eastAsia="Times New Roman" w:hAnsi="Times New Roman" w:cs="Times New Roman"/>
                <w:sz w:val="20"/>
                <w:szCs w:val="20"/>
              </w:rPr>
              <w:t xml:space="preserve">Etap V </w:t>
            </w:r>
            <w:r w:rsidR="00B953CB" w:rsidRPr="00805034">
              <w:rPr>
                <w:rFonts w:ascii="Times New Roman" w:eastAsia="Times New Roman" w:hAnsi="Times New Roman" w:cs="Times New Roman"/>
                <w:sz w:val="20"/>
                <w:szCs w:val="20"/>
              </w:rPr>
              <w:t xml:space="preserve">– </w:t>
            </w:r>
            <w:bookmarkStart w:id="8" w:name="_Hlk172718285"/>
            <w:r w:rsidR="004C084F" w:rsidRPr="00805034">
              <w:rPr>
                <w:rFonts w:ascii="Times New Roman" w:eastAsia="Times New Roman" w:hAnsi="Times New Roman"/>
                <w:bCs/>
                <w:sz w:val="20"/>
                <w:szCs w:val="20"/>
                <w:lang w:eastAsia="pl-PL"/>
              </w:rPr>
              <w:t xml:space="preserve">montaż pompy ciepła, </w:t>
            </w:r>
            <w:r w:rsidR="007476E6" w:rsidRPr="00805034">
              <w:rPr>
                <w:rFonts w:ascii="Times New Roman" w:eastAsia="Times New Roman" w:hAnsi="Times New Roman"/>
                <w:bCs/>
                <w:sz w:val="20"/>
                <w:szCs w:val="20"/>
                <w:lang w:eastAsia="pl-PL"/>
              </w:rPr>
              <w:t>wykonanie instalacji i przyłączy zewnętrznych, wykonanie robót zewnętrznych stanowiących zagospodarowanie terenu</w:t>
            </w:r>
            <w:r w:rsidR="00F2168A" w:rsidRPr="00805034">
              <w:rPr>
                <w:rFonts w:ascii="Times New Roman" w:eastAsia="Times New Roman" w:hAnsi="Times New Roman"/>
                <w:bCs/>
                <w:sz w:val="20"/>
                <w:szCs w:val="20"/>
                <w:lang w:eastAsia="pl-PL"/>
              </w:rPr>
              <w:t xml:space="preserve"> (za wyjątkiem drogi oraz terenu leśnego – dz. nr ewid. 8/3 oraz 8/4 obr. 0072 Grodzisk Mazowiecki)</w:t>
            </w:r>
            <w:r w:rsidR="007476E6" w:rsidRPr="00805034">
              <w:rPr>
                <w:rFonts w:ascii="Times New Roman" w:eastAsia="Times New Roman" w:hAnsi="Times New Roman"/>
                <w:bCs/>
                <w:sz w:val="20"/>
                <w:szCs w:val="20"/>
                <w:lang w:eastAsia="pl-PL"/>
              </w:rPr>
              <w:t xml:space="preserve">, </w:t>
            </w:r>
            <w:r w:rsidR="00196889" w:rsidRPr="00805034">
              <w:rPr>
                <w:rFonts w:ascii="Times New Roman" w:eastAsia="Times New Roman" w:hAnsi="Times New Roman"/>
                <w:bCs/>
                <w:sz w:val="20"/>
                <w:szCs w:val="20"/>
                <w:lang w:eastAsia="pl-PL"/>
              </w:rPr>
              <w:t xml:space="preserve">wykonanie pozostałych </w:t>
            </w:r>
            <w:r w:rsidR="007476E6" w:rsidRPr="00805034">
              <w:rPr>
                <w:rFonts w:ascii="Times New Roman" w:eastAsia="Times New Roman" w:hAnsi="Times New Roman"/>
                <w:bCs/>
                <w:sz w:val="20"/>
                <w:szCs w:val="20"/>
                <w:lang w:eastAsia="pl-PL"/>
              </w:rPr>
              <w:t>robót budowlanych, oddanie budynk</w:t>
            </w:r>
            <w:r w:rsidR="00F2168A" w:rsidRPr="00805034">
              <w:rPr>
                <w:rFonts w:ascii="Times New Roman" w:eastAsia="Times New Roman" w:hAnsi="Times New Roman"/>
                <w:bCs/>
                <w:sz w:val="20"/>
                <w:szCs w:val="20"/>
                <w:lang w:eastAsia="pl-PL"/>
              </w:rPr>
              <w:t>ów</w:t>
            </w:r>
            <w:r w:rsidR="007476E6" w:rsidRPr="00805034">
              <w:rPr>
                <w:rFonts w:ascii="Times New Roman" w:eastAsia="Times New Roman" w:hAnsi="Times New Roman"/>
                <w:bCs/>
                <w:sz w:val="20"/>
                <w:szCs w:val="20"/>
                <w:lang w:eastAsia="pl-PL"/>
              </w:rPr>
              <w:t xml:space="preserve"> do użytkowania </w:t>
            </w:r>
            <w:r w:rsidR="00B953CB" w:rsidRPr="00805034">
              <w:rPr>
                <w:rFonts w:ascii="Times New Roman" w:eastAsia="Times New Roman" w:hAnsi="Times New Roman" w:cs="Times New Roman"/>
                <w:sz w:val="20"/>
                <w:szCs w:val="20"/>
              </w:rPr>
              <w:t xml:space="preserve">– 10% </w:t>
            </w:r>
            <w:r w:rsidR="00AE19B3" w:rsidRPr="00805034">
              <w:rPr>
                <w:rFonts w:ascii="Times New Roman" w:eastAsia="Times New Roman" w:hAnsi="Times New Roman" w:cs="Times New Roman"/>
                <w:sz w:val="20"/>
                <w:szCs w:val="20"/>
              </w:rPr>
              <w:t xml:space="preserve">– planowany termin zakończenia do dnia </w:t>
            </w:r>
            <w:bookmarkEnd w:id="7"/>
            <w:bookmarkEnd w:id="8"/>
            <w:r w:rsidR="004B265C">
              <w:rPr>
                <w:rFonts w:ascii="Times New Roman" w:eastAsia="Times New Roman" w:hAnsi="Times New Roman" w:cs="Times New Roman"/>
                <w:b/>
                <w:bCs/>
                <w:sz w:val="20"/>
                <w:szCs w:val="20"/>
                <w:lang w:eastAsia="pl-PL"/>
              </w:rPr>
              <w:t>31.08.2027</w:t>
            </w:r>
            <w:r w:rsidR="00805034" w:rsidRPr="00805034">
              <w:rPr>
                <w:rFonts w:ascii="Times New Roman" w:eastAsia="Times New Roman" w:hAnsi="Times New Roman" w:cs="Times New Roman"/>
                <w:b/>
                <w:bCs/>
                <w:sz w:val="20"/>
                <w:szCs w:val="20"/>
                <w:lang w:eastAsia="pl-PL"/>
              </w:rPr>
              <w:t xml:space="preserve"> </w:t>
            </w:r>
            <w:r w:rsidR="00805034" w:rsidRPr="00805034">
              <w:rPr>
                <w:rFonts w:ascii="Times New Roman" w:eastAsia="Times New Roman" w:hAnsi="Times New Roman" w:cs="Times New Roman"/>
                <w:b/>
                <w:bCs/>
                <w:sz w:val="20"/>
                <w:szCs w:val="20"/>
              </w:rPr>
              <w:t>r.</w:t>
            </w:r>
          </w:p>
        </w:tc>
      </w:tr>
      <w:tr w:rsidR="009327A6" w:rsidRPr="00DD7B98" w14:paraId="092D6846" w14:textId="77777777" w:rsidTr="00A1703E">
        <w:trPr>
          <w:trHeight w:val="292"/>
        </w:trPr>
        <w:tc>
          <w:tcPr>
            <w:tcW w:w="2810" w:type="dxa"/>
            <w:shd w:val="clear" w:color="auto" w:fill="F3F3F3"/>
          </w:tcPr>
          <w:p w14:paraId="4382DC6D" w14:textId="77777777" w:rsidR="009327A6" w:rsidRPr="00196889" w:rsidRDefault="009327A6" w:rsidP="006C5700">
            <w:pPr>
              <w:spacing w:beforeLines="60" w:before="144" w:afterLines="60" w:after="144" w:line="240" w:lineRule="auto"/>
              <w:rPr>
                <w:rFonts w:ascii="Times New Roman" w:eastAsia="Times New Roman" w:hAnsi="Times New Roman" w:cs="Times New Roman"/>
                <w:sz w:val="20"/>
                <w:szCs w:val="20"/>
              </w:rPr>
            </w:pPr>
            <w:r w:rsidRPr="00196889">
              <w:rPr>
                <w:rFonts w:ascii="Times New Roman" w:eastAsia="Times New Roman" w:hAnsi="Times New Roman" w:cs="Times New Roman"/>
                <w:sz w:val="20"/>
                <w:szCs w:val="20"/>
              </w:rPr>
              <w:t>Dopuszczenie waloryzacji ceny oraz określenie zasad waloryzacji</w:t>
            </w:r>
          </w:p>
        </w:tc>
        <w:tc>
          <w:tcPr>
            <w:tcW w:w="6838" w:type="dxa"/>
            <w:gridSpan w:val="2"/>
          </w:tcPr>
          <w:p w14:paraId="6C9886F5" w14:textId="77777777" w:rsidR="0068141D" w:rsidRPr="00FF1415" w:rsidRDefault="0068141D" w:rsidP="0068141D">
            <w:pPr>
              <w:spacing w:beforeLines="60" w:before="144" w:afterLines="60" w:after="144" w:line="240" w:lineRule="auto"/>
              <w:jc w:val="both"/>
              <w:rPr>
                <w:rFonts w:ascii="Times New Roman" w:eastAsia="Times New Roman" w:hAnsi="Times New Roman" w:cs="Times New Roman"/>
                <w:sz w:val="20"/>
                <w:szCs w:val="20"/>
              </w:rPr>
            </w:pPr>
            <w:r w:rsidRPr="001E13B4">
              <w:rPr>
                <w:rFonts w:ascii="Times New Roman" w:eastAsia="Times New Roman" w:hAnsi="Times New Roman" w:cs="Times New Roman"/>
                <w:sz w:val="20"/>
                <w:szCs w:val="20"/>
              </w:rPr>
              <w:t xml:space="preserve">1. </w:t>
            </w:r>
            <w:r w:rsidRPr="00FF1415">
              <w:rPr>
                <w:rFonts w:ascii="Times New Roman" w:eastAsia="Times New Roman" w:hAnsi="Times New Roman" w:cs="Times New Roman"/>
                <w:sz w:val="20"/>
                <w:szCs w:val="20"/>
              </w:rPr>
              <w:t xml:space="preserve">Powierzchnia użytkowa lokalu określona w inwentaryzacji powykonawczej, może się różnić w stosunku do projektowanej powierzchni użytkowej określonej postanowieniami umowy deweloperskiej, co Nabywca przyjmuje do wiadomości i na co wyraża zgodę. W przypadku wykazania różnicy powierzchniowej w inwentaryzacji powykonawczej Cena Lokalu ulegnie odpowiedniej korekcie przy uwzględnieniu ceny 1 m2 powierzchni użytkowej lokalu określonej postanowieniami umowy deweloperskiej i Strony wówczas dokonają w tym zakresie stosownych rozliczeń w terminie do dnia zawarcia umowy przyrzeczonej.  O zmianie powierzchni użytkowej oraz o zmianie Ceny Lokalu Deweloper zawiadomi Nabywcę najpóźniej wraz z zawiadomieniem Nabywcy o terminie odbioru lokalu. Nabywca w umowie deweloperskiej wskaże adres poczty elektronicznej do otrzymywania zawiadomienia o zmianie powierzchni użytkowej oraz o zmianie Ceny Lokalu; termin oraz sposób zawiadomienia, o których mowa powyżej mogą ulec skróceniu lub zmianie w przypadku zgodnego oświadczenia woli w tym przedmiocie Dewelopera i Nabywcy. W przypadku zmiany polegającej na zwiększeniu powierzchni użytkowej i Ceny Lokalu, Nabywcy przysługiwać będzie prawo odstąpienia od umowy deweloperskiej w terminie 14 dni od dnia otrzymania zawiadomienia, nie później jednak niż w terminie do dnia  zawarcia umowy przyrzeczonej. Postanowienia § 8 ust. 9, 10, 11, 13 i 17 umowy deweloperskiej (ust. 9, 10, 11, 13 i 17 wskazane poniżej w warunkach na jakich można odstąpić od umowy deweloperskiej od umowy deweloperskiej) stosuje się odpowiednio, z tym zastrzeżeniem, że w zakresie wynikającym z powołanego ust. 17, Deweloper i Nabywca złożą zgodne oświadczenie do banku lub kasy zgodnie z którym zwrot środków pieniężnych zgromadzonych przez Nabywcę na mieszkaniowym rachunku powierniczym zostanie dokonany w nominalnej wysokości na rzecz Nabywcy. </w:t>
            </w:r>
          </w:p>
          <w:p w14:paraId="327E5B51" w14:textId="77777777" w:rsidR="0068141D" w:rsidRPr="00FF1415" w:rsidRDefault="0068141D" w:rsidP="0068141D">
            <w:pPr>
              <w:spacing w:beforeLines="60" w:before="144" w:afterLines="60" w:after="144" w:line="240" w:lineRule="auto"/>
              <w:jc w:val="both"/>
              <w:rPr>
                <w:rFonts w:ascii="Times New Roman" w:eastAsia="Times New Roman" w:hAnsi="Times New Roman" w:cs="Times New Roman"/>
                <w:sz w:val="20"/>
                <w:szCs w:val="20"/>
              </w:rPr>
            </w:pPr>
            <w:r w:rsidRPr="00FF1415">
              <w:rPr>
                <w:rFonts w:ascii="Times New Roman" w:eastAsia="Times New Roman" w:hAnsi="Times New Roman" w:cs="Times New Roman"/>
                <w:sz w:val="20"/>
                <w:szCs w:val="20"/>
              </w:rPr>
              <w:t xml:space="preserve">2. Cena Lokalu może ulec zmianie w zakresie proporcjonalnym do zmiany w stawce podatku VAT, wówczas Strony dokonają w tym zakresie stosownych rozliczeń w terminie do dnia zawarcia umowy przyrzeczonej. O zmianie Ceny Lokalu Deweloper zawiadomi Nabywcę najpóźniej do dnia zawarcia umowy przyrzeczonej. Nabywca w umowie deweloperskiej wskaże adres poczty elektronicznej, do otrzymywania zawiadomienia o zmianie Ceny Lokalu; termin oraz sposób zawiadomienia, o których mowa powyżej mogą ulec skróceniu lub </w:t>
            </w:r>
            <w:r w:rsidRPr="00FF1415">
              <w:rPr>
                <w:rFonts w:ascii="Times New Roman" w:eastAsia="Times New Roman" w:hAnsi="Times New Roman" w:cs="Times New Roman"/>
                <w:sz w:val="20"/>
                <w:szCs w:val="20"/>
              </w:rPr>
              <w:lastRenderedPageBreak/>
              <w:t xml:space="preserve">zmianie w przypadku zgodnego oświadczenia woli w tym przedmiocie Dewelopera i Nabywcy. W przypadku wystąpienia konieczności dokonania dopłat przez Nabywcę, Nabywcy przysługiwać będzie prawo odstąpienia od umowy deweloperskiej w terminie 14 dni od dnia otrzymania zawiadomienia, nie później jednak niż w terminie do dnia zawarcia umowy przyrzeczonej. Postanowienia § 8 ust. 9, 10, 11, 13 i 17 umowy deweloperskiej (ust. 9, 10, 11, 13 i 17 wskazane poniżej w warunkach na jakich można odstąpić od umowy deweloperskiej od umowy deweloperskiej)  stosuje się odpowiednio, z tym zastrzeżeniem, że w zakresie wynikającym z powołanego ust. 17, Deweloper i Nabywca złożą zgodne oświadczenie do banku lub kasy zgodnie z którym zwrot środków pieniężnych zgromadzonych przez Nabywcę na mieszkaniowym rachunku powierniczym zostanie dokonany w nominalnej wysokości na rzecz Nabywcy. </w:t>
            </w:r>
          </w:p>
          <w:p w14:paraId="0E4F0988" w14:textId="34820513" w:rsidR="009327A6" w:rsidRPr="007476E6" w:rsidRDefault="0068141D" w:rsidP="0068141D">
            <w:pPr>
              <w:spacing w:beforeLines="60" w:before="144" w:afterLines="60" w:after="144" w:line="240" w:lineRule="auto"/>
              <w:rPr>
                <w:rFonts w:ascii="Times New Roman" w:eastAsia="Times New Roman" w:hAnsi="Times New Roman" w:cs="Times New Roman"/>
                <w:sz w:val="20"/>
                <w:szCs w:val="20"/>
                <w:highlight w:val="green"/>
              </w:rPr>
            </w:pPr>
            <w:r w:rsidRPr="00FF1415">
              <w:rPr>
                <w:rFonts w:ascii="Times New Roman" w:eastAsia="Times New Roman" w:hAnsi="Times New Roman" w:cs="Times New Roman"/>
                <w:b/>
                <w:bCs/>
                <w:i/>
                <w:iCs/>
                <w:sz w:val="20"/>
                <w:szCs w:val="20"/>
              </w:rPr>
              <w:t>UWAGA:</w:t>
            </w:r>
            <w:r w:rsidRPr="00FF1415">
              <w:rPr>
                <w:rFonts w:ascii="Times New Roman" w:eastAsia="Times New Roman" w:hAnsi="Times New Roman" w:cs="Times New Roman"/>
                <w:sz w:val="20"/>
                <w:szCs w:val="20"/>
              </w:rPr>
              <w:t xml:space="preserve"> </w:t>
            </w:r>
            <w:r w:rsidRPr="00FF1415">
              <w:rPr>
                <w:rFonts w:ascii="Times New Roman" w:eastAsia="Times New Roman" w:hAnsi="Times New Roman" w:cs="Times New Roman"/>
                <w:i/>
                <w:iCs/>
                <w:sz w:val="20"/>
                <w:szCs w:val="20"/>
                <w:lang w:eastAsia="pl-PL"/>
              </w:rPr>
              <w:t>Cena Lokalu, o której mowa w ust. 1 i 2 powyżej określona jest jako iloczyn m</w:t>
            </w:r>
            <w:r w:rsidRPr="00FF1415">
              <w:rPr>
                <w:rFonts w:ascii="Times New Roman" w:eastAsia="Times New Roman" w:hAnsi="Times New Roman" w:cs="Times New Roman"/>
                <w:i/>
                <w:iCs/>
                <w:sz w:val="20"/>
                <w:szCs w:val="20"/>
                <w:vertAlign w:val="superscript"/>
                <w:lang w:eastAsia="pl-PL"/>
              </w:rPr>
              <w:t>2 </w:t>
            </w:r>
            <w:r w:rsidRPr="00FF1415">
              <w:rPr>
                <w:rFonts w:ascii="Times New Roman" w:eastAsia="Times New Roman" w:hAnsi="Times New Roman" w:cs="Times New Roman"/>
                <w:i/>
                <w:iCs/>
                <w:sz w:val="20"/>
                <w:szCs w:val="20"/>
                <w:lang w:eastAsia="pl-PL"/>
              </w:rPr>
              <w:t xml:space="preserve"> powierzchni użytkowej lokalu oraz ceny za 1 m</w:t>
            </w:r>
            <w:r w:rsidRPr="00FF1415">
              <w:rPr>
                <w:rFonts w:ascii="Times New Roman" w:eastAsia="Times New Roman" w:hAnsi="Times New Roman" w:cs="Times New Roman"/>
                <w:i/>
                <w:iCs/>
                <w:sz w:val="20"/>
                <w:szCs w:val="20"/>
                <w:vertAlign w:val="superscript"/>
                <w:lang w:eastAsia="pl-PL"/>
              </w:rPr>
              <w:t>2</w:t>
            </w:r>
            <w:r w:rsidRPr="00FF1415">
              <w:rPr>
                <w:rFonts w:ascii="Times New Roman" w:eastAsia="Times New Roman" w:hAnsi="Times New Roman" w:cs="Times New Roman"/>
                <w:i/>
                <w:iCs/>
                <w:sz w:val="20"/>
                <w:szCs w:val="20"/>
                <w:lang w:eastAsia="pl-PL"/>
              </w:rPr>
              <w:t> powierzchni użytkowej.</w:t>
            </w:r>
          </w:p>
        </w:tc>
      </w:tr>
      <w:tr w:rsidR="009327A6" w:rsidRPr="00DD7B98" w14:paraId="18CAB3F3" w14:textId="77777777" w:rsidTr="00A1703E">
        <w:tc>
          <w:tcPr>
            <w:tcW w:w="9648" w:type="dxa"/>
            <w:gridSpan w:val="3"/>
            <w:tcBorders>
              <w:bottom w:val="single" w:sz="4" w:space="0" w:color="auto"/>
            </w:tcBorders>
            <w:shd w:val="clear" w:color="auto" w:fill="E0E0E0"/>
          </w:tcPr>
          <w:p w14:paraId="34396454" w14:textId="3F7AD8AB" w:rsidR="009327A6" w:rsidRPr="00DD7B98" w:rsidRDefault="009327A6" w:rsidP="006C5700">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lastRenderedPageBreak/>
              <w:t>WARUNKI ODSTĄPIENIA OD UMOWY DEWELOPERSKIEJ LUB UMOWY, O KTÓREJ MOWA W ART. 2 UST. 1 PKT 2, 3 LUB 5</w:t>
            </w:r>
            <w:r w:rsidR="00EB2917">
              <w:rPr>
                <w:rFonts w:ascii="Times New Roman" w:eastAsia="Times New Roman" w:hAnsi="Times New Roman" w:cs="Times New Roman"/>
                <w:b/>
                <w:sz w:val="20"/>
                <w:szCs w:val="20"/>
              </w:rPr>
              <w:t xml:space="preserve"> USTAWY Z DNIA 20 MAJA 2021 r. </w:t>
            </w:r>
            <w:r w:rsidRPr="00DD7B98">
              <w:rPr>
                <w:rFonts w:ascii="Times New Roman" w:eastAsia="Times New Roman" w:hAnsi="Times New Roman" w:cs="Times New Roman"/>
                <w:b/>
                <w:sz w:val="20"/>
                <w:szCs w:val="20"/>
              </w:rPr>
              <w:t>O OCHRONIE PRAW NABYWCY LOKALU MIESZKALNEGO LUB DOMU JEDNORODZINNEGO ORAZ DEWE</w:t>
            </w:r>
            <w:r w:rsidR="00F019BC">
              <w:rPr>
                <w:rFonts w:ascii="Times New Roman" w:eastAsia="Times New Roman" w:hAnsi="Times New Roman" w:cs="Times New Roman"/>
                <w:b/>
                <w:sz w:val="20"/>
                <w:szCs w:val="20"/>
              </w:rPr>
              <w:t>LOPERSKIM FUNDUSZU GWARANCYJNYM</w:t>
            </w:r>
          </w:p>
        </w:tc>
      </w:tr>
      <w:tr w:rsidR="009327A6" w:rsidRPr="00DD7B98" w14:paraId="04428CFA" w14:textId="77777777" w:rsidTr="003561B7">
        <w:trPr>
          <w:trHeight w:val="708"/>
        </w:trPr>
        <w:tc>
          <w:tcPr>
            <w:tcW w:w="2810" w:type="dxa"/>
            <w:tcBorders>
              <w:bottom w:val="single" w:sz="4" w:space="0" w:color="auto"/>
            </w:tcBorders>
            <w:shd w:val="clear" w:color="auto" w:fill="F3F3F3"/>
          </w:tcPr>
          <w:p w14:paraId="3366250E" w14:textId="77777777" w:rsidR="009327A6" w:rsidRPr="0017112E" w:rsidRDefault="009327A6" w:rsidP="006C5700">
            <w:pPr>
              <w:spacing w:beforeLines="60" w:before="144" w:afterLines="60" w:after="144" w:line="240" w:lineRule="auto"/>
              <w:rPr>
                <w:rFonts w:ascii="Times New Roman" w:eastAsia="Times New Roman" w:hAnsi="Times New Roman" w:cs="Times New Roman"/>
                <w:sz w:val="20"/>
                <w:szCs w:val="20"/>
              </w:rPr>
            </w:pPr>
            <w:r w:rsidRPr="0017112E">
              <w:rPr>
                <w:rFonts w:ascii="Times New Roman" w:hAnsi="Times New Roman" w:cs="Times New Roman"/>
                <w:sz w:val="20"/>
                <w:szCs w:val="20"/>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0487614B"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 Prócz przypadków związanych z waloryzacją ceny, Nabywca ma prawo odstąpić od umowy deweloperskiej:</w:t>
            </w:r>
          </w:p>
          <w:p w14:paraId="58AC28ED"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 jeżeli umowa deweloperska nie zawiera elementów, o których mowa w art. 35 ustawy o ochronie praw nabywcy lokalu mieszkalnego lub domu jednorodzinnego oraz deweloperskim funduszu gwarancyjnym (dalej „Ustawa”);</w:t>
            </w:r>
          </w:p>
          <w:p w14:paraId="5FAAEC27"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2) jeżeli informacje zawarte w umowie deweloperskiej nie są zgodne z informacjami zawartymi w Prospekcie Informacyjnym lub jego załącznikach, z wyjątkiem zmian, o których mowa w art. 35 ust. 2 Ustawy;</w:t>
            </w:r>
          </w:p>
          <w:p w14:paraId="3B328F20"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3) jeżeli deweloper nie doręczył zgodnie z art. 21 lub art. 22 Ustawy Prospektu Informacyjnego wraz z załącznikami lub informacji o zmianie danych lub informacji zawartych w Prospekcie Informacyjnym lub jego załącznikach;</w:t>
            </w:r>
          </w:p>
          <w:p w14:paraId="1DA99B3D"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4) jeżeli dane lub informacje zawarte w Prospekcie Informacyjnym lub jego załącznikach, na podstawie których zawarto umowę deweloperską, są niezgodne ze stanem faktycznym lub prawnym w dniu zawarcia umowy;</w:t>
            </w:r>
          </w:p>
          <w:p w14:paraId="0EB53A1F"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5) jeżeli Prospekt Informacyjny, na podstawie którego zawarto umowę deweloperską, nie zawiera danych lub informacji określonych we wzorze Prospektu Informacyjnego (stanowiącego załącznik do Ustawy);</w:t>
            </w:r>
          </w:p>
          <w:p w14:paraId="59836B43"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6) w przypadku nieprzeniesienia na Nabywcę praw wynikających z umowy deweloperskiej w terminie wynikającym z tej umowy;</w:t>
            </w:r>
          </w:p>
          <w:p w14:paraId="21B6C56E"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7) w przypadku gdy deweloper nie zawrze umowy mieszkaniowego rachunku powierniczego z innym bankiem lub inną kasą w trybie i terminie, o których mowa w art. 10 ust. 1 Ustawy;</w:t>
            </w:r>
          </w:p>
          <w:p w14:paraId="7BC0C980"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8) w przypadku gdy deweloper nie posiada zgody wierzyciela hipotecznego lub zobowiązania do jej udzielenia, o których mowa w art. 25 ust. 1 pkt 1;</w:t>
            </w:r>
          </w:p>
          <w:p w14:paraId="2DFF2AB6"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9) w przypadku niewykonania przez dewelopera obowiązku, o którym mowa w art. 12 ust. 2 Ustawy, w terminie określonym w tym przepisie;</w:t>
            </w:r>
          </w:p>
          <w:p w14:paraId="311661A8"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10) w przypadku nieusunięcia przez dewelopera wady istotnej lokalu mieszkalnego na zasadach określonych w art. 41 ust. 11 Ustawy;</w:t>
            </w:r>
          </w:p>
          <w:p w14:paraId="42AD4631"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11) w przypadku stwierdzenia przez rzeczoznawcę istnienia wady istotnej, o którym mowa w art. 41 ust. 15 Ustawy;</w:t>
            </w:r>
          </w:p>
          <w:p w14:paraId="0C6AAFAE"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 xml:space="preserve">12) jeżeli syndyk zażądał wykonania umowy na podstawie art. 98 ustawy z dnia </w:t>
            </w:r>
            <w:r w:rsidRPr="007939F9">
              <w:rPr>
                <w:rFonts w:ascii="Times New Roman" w:eastAsia="Times New Roman" w:hAnsi="Times New Roman" w:cs="Times New Roman"/>
                <w:sz w:val="20"/>
                <w:szCs w:val="20"/>
              </w:rPr>
              <w:lastRenderedPageBreak/>
              <w:t>28 lutego 2003 r. – Prawo upadłościowe.</w:t>
            </w:r>
          </w:p>
          <w:p w14:paraId="73E24C92"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2. W przypadkach, o których mowa w ust. 1 pkt 1–5 powyżej, Nabywca ma prawo odstąpienia od umowy deweloperskiej w terminie 30 dni od dnia jej zawarcia.</w:t>
            </w:r>
          </w:p>
          <w:p w14:paraId="4BA07D3E" w14:textId="48CAF87B"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3. W przypadku, o którym mowa w ust. 1 pkt 6 powyżej,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 której wysokość będzie równa wysokości odsetek ustawowych za opóźnienie liczonych od ceny,  od dnia, w którym upłynął termin na przeniesienie na Nabywcę praw wynikających z umowy deweloperskiej, do dnia odstąpienia od umowy deweloperskiej bądź przeniesienia na Nabywcę praw wynikających z umowy deweloperskiej.</w:t>
            </w:r>
            <w:r w:rsidR="00FF1415">
              <w:rPr>
                <w:rFonts w:ascii="Times New Roman" w:eastAsia="Times New Roman" w:hAnsi="Times New Roman" w:cs="Times New Roman"/>
                <w:sz w:val="20"/>
                <w:szCs w:val="20"/>
              </w:rPr>
              <w:t xml:space="preserve"> </w:t>
            </w:r>
            <w:r w:rsidR="00FF1415" w:rsidRPr="00FF1415">
              <w:rPr>
                <w:rFonts w:ascii="Times New Roman" w:eastAsia="Times New Roman" w:hAnsi="Times New Roman" w:cs="Times New Roman"/>
                <w:sz w:val="20"/>
                <w:szCs w:val="20"/>
              </w:rPr>
              <w:t>Jeżeli szkoda poniesiona przez Nabywcę przewyższy kwotę zastrzeżonej kary umownej, Nabywcy przysługuje prawo dochodzenia odszkodowania przenoszącego wysokość zastrzeżonej kary umownej.</w:t>
            </w:r>
          </w:p>
          <w:p w14:paraId="66F18545"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4. W przypadku, o którym mowa w ust. 1 pkt 7 powyżej, Nabywca ma prawo odstąpienia od umowy deweloperskiej po dokonaniu przez bank lub kasę zwrotu środków zgodnie z art. 10 ust. 3 Ustawy.</w:t>
            </w:r>
          </w:p>
          <w:p w14:paraId="5A92886C"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5. W przypadku, o którym mowa w ust. 1 pkt 8 powyżej, Nabywca ma prawo odstąpienia od umowy deweloperskiej w terminie 60 dni od dnia jej zawarcia.</w:t>
            </w:r>
          </w:p>
          <w:p w14:paraId="428887B4"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6. W przypadku, o którym mowa w ust. 1 pkt 9 powyżej, Nabywca ma prawo odstąpienia od umowy deweloperskiej po upływie 60 dni od dnia podania do publicznej wiadomości informacji, o których mowa w art. 12 ust. 1 Ustawy.</w:t>
            </w:r>
          </w:p>
          <w:p w14:paraId="0ACAD085"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7. 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21AE46C6"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8. Deweloper ma prawo odstąpić od umowy deweloperskiej w przypadku niestawienia się Nabywcy do odbioru lokalu mieszkalnego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35DDE635"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9. W przypadku skorzystania przez Nabywcę z prawa odstąpienia, o którym mowa w art. 43 ust. 1 Ustawy, tj. ust. 1 powyżej, Nabywca nie jest zobowiązany do zapłaty jakiekolwiek sumy na rzecz dewelopera.</w:t>
            </w:r>
          </w:p>
          <w:p w14:paraId="1CD555A6"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10. W przypadku skorzystania przez Nabywcę z prawa odstąpienia, o którym mowa w art. 43 ust. 1 Ustawy, tj. ust. 1 powyżej, umowa uważana jest za niezawartą, a Nabywca nie ponosi żadnych kosztów związanych z odstąpieniem od umowy.</w:t>
            </w:r>
          </w:p>
          <w:p w14:paraId="3F438557"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11. Deweloper ma obowiązek niezwłocznie, jednak nie później niż w terminie 30 dni od dnia otrzymania oświadczenia Nabywcy o odstąpieniu od umowy, zwrócić nabywcy środki wypłacone deweloperowi przez bank lub kasę z otwartego mieszkaniowego rachunku powierniczego w związku z realizacją umowy deweloperskiej.</w:t>
            </w:r>
          </w:p>
          <w:p w14:paraId="1C5F31C0"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 xml:space="preserve">12.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w celu realizacji przez ten fundusz zwrotu wpłat Nabywców w przypadku określonym w art. 48 ust. 1 pkt 6 </w:t>
            </w:r>
            <w:r w:rsidRPr="007939F9">
              <w:rPr>
                <w:rFonts w:ascii="Times New Roman" w:eastAsia="Times New Roman" w:hAnsi="Times New Roman" w:cs="Times New Roman"/>
                <w:sz w:val="20"/>
                <w:szCs w:val="20"/>
              </w:rPr>
              <w:lastRenderedPageBreak/>
              <w:t>Ustawy, informację o wysokości środków zwróconych Nabywcy w związku z odstąpieniem przez niego od umowy i dacie dokonania zwrotu tych środków.</w:t>
            </w:r>
          </w:p>
          <w:p w14:paraId="0B044FBF"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 xml:space="preserve">13. Oświadczenie woli Nabywcy o odstąpieniu od umowy deweloperskiej jest skuteczne, jeżeli zawiera zgodę na wykreślenie z księgi wieczystej odpowiednich roszczeń, o których mowa w art. 38 ust. 2 Ustawy, tj. </w:t>
            </w:r>
            <w:bookmarkStart w:id="9" w:name="_Hlk136421145"/>
            <w:r w:rsidRPr="007939F9">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 i jest złożone w formie pisemnej z podpisami notarialnie poświadczonymi</w:t>
            </w:r>
            <w:bookmarkEnd w:id="9"/>
            <w:r w:rsidRPr="007939F9">
              <w:rPr>
                <w:rFonts w:ascii="Times New Roman" w:eastAsia="Times New Roman" w:hAnsi="Times New Roman" w:cs="Times New Roman"/>
                <w:sz w:val="20"/>
                <w:szCs w:val="20"/>
              </w:rPr>
              <w:t>.</w:t>
            </w:r>
          </w:p>
          <w:p w14:paraId="3F740051"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 xml:space="preserve">14. W przypadku odstąpienia od umowy deweloperskiej przez dewelopera na podstawie art. 43 ust. 7 lub 8 Ustawy, tj. ust. 7 lub 8 powyżej, Nabywca jest obowiązany wyrazić zgodę na wykreślenie z księgi wieczystej odpowiednich roszczeń, o których mowa w art. 38 ust. 2 Ustawy, tj. </w:t>
            </w:r>
            <w:bookmarkStart w:id="10" w:name="_Hlk136421202"/>
            <w:r w:rsidRPr="007939F9">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w:t>
            </w:r>
            <w:bookmarkEnd w:id="10"/>
            <w:r w:rsidRPr="007939F9">
              <w:rPr>
                <w:rFonts w:ascii="Times New Roman" w:eastAsia="Times New Roman" w:hAnsi="Times New Roman" w:cs="Times New Roman"/>
                <w:sz w:val="20"/>
                <w:szCs w:val="20"/>
              </w:rPr>
              <w:t>.</w:t>
            </w:r>
          </w:p>
          <w:p w14:paraId="603D0A87"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15. W przypadku odstąpienia na podstawie art. 43  Ustawy od umowy deweloperskiej, tj. ust. 1 oraz 7 i 8 powyżej, przez jedną ze Stron, bank lub kasa wypłaca nabywcy przypadające mu środki pieniężne pozostałe na mieszkaniowym rachunku powierniczym w nominalnej wysokości niezwłocznie po otrzymaniu oświadczenia o odstąpieniu od umowy deweloperskiej.</w:t>
            </w:r>
          </w:p>
          <w:p w14:paraId="20C9B47D"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16. Postanowienia ust. 15 powyżej stosuje się odpowiednio w przypadku odstąpienia od umowy deweloperskiej przez syndyka na podstawie art. 98 ustawy z dnia 28 lutego 2003 r. – Prawo upadłościowe lub przez zarządcę w trybie art. 298 ustawy z dnia 15 maja 2015 r. – Prawo restrukturyzacyjne.</w:t>
            </w:r>
          </w:p>
          <w:p w14:paraId="751DD1E9"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17. W przypadku rozwiązania umowy deweloperskiej innego niż na podstawie art. 43 Ustawy, tj. ust. 1 oraz 7 i 8 powyżej,  Strony przedstawią zgodne oświadczenia woli o sposobie podziału środków pieniężnych zgromadzonych przez Nabywcę na mieszkaniowym rachunku powierniczym. Bank lub kasa wypłaca środki zgromadzone na mieszkaniowym rachunku powierniczym w nominalnej wysokości niezwłocznie po otrzymaniu oświadczeń, o których mowa powyżej.</w:t>
            </w:r>
          </w:p>
          <w:p w14:paraId="140AC1D2" w14:textId="77777777" w:rsidR="003561B7" w:rsidRPr="007939F9" w:rsidRDefault="003561B7" w:rsidP="003561B7">
            <w:pPr>
              <w:pStyle w:val="Standard"/>
              <w:widowControl w:val="0"/>
              <w:spacing w:before="144" w:after="144"/>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18. W przypadku odstąpienia od umowy deweloperskiej przez dewelopera na podstawie art. 43 ust. 7 lub 8 Ustawy, tj. ust. 7 lub 8 powyżej, deweloper niezwłocznie, jednak nie później niż w terminie 30 dni od dnia doręczenia Nabywcy oświadczenia o odstąpieniu od umowy, zwróci Nabywcy środki wypłacone deweloperowi przez bank lub kasę z otwartego mieszkaniowego rachunku powierniczego w związku z realizacją umowy deweloperskiej pomniejszone o ewentualne należne deweloperowi kary umowne lub odsetki.</w:t>
            </w:r>
          </w:p>
          <w:p w14:paraId="197D0AED" w14:textId="77777777" w:rsidR="009327A6" w:rsidRDefault="003561B7" w:rsidP="003561B7">
            <w:pPr>
              <w:spacing w:beforeLines="60" w:before="144" w:afterLines="60" w:after="144" w:line="240" w:lineRule="auto"/>
              <w:rPr>
                <w:rFonts w:ascii="Times New Roman" w:eastAsia="Times New Roman" w:hAnsi="Times New Roman" w:cs="Times New Roman"/>
                <w:sz w:val="20"/>
                <w:szCs w:val="20"/>
              </w:rPr>
            </w:pPr>
            <w:r w:rsidRPr="007939F9">
              <w:rPr>
                <w:rFonts w:ascii="Times New Roman" w:eastAsia="Times New Roman" w:hAnsi="Times New Roman" w:cs="Times New Roman"/>
                <w:sz w:val="20"/>
                <w:szCs w:val="20"/>
              </w:rPr>
              <w:t>19. W przypadku rozwiązania umowy deweloperskiej innego niż na podstawie art. 43 Ustawy, tj. ust. 1 oraz 7 i 8 powyżej,  deweloper niezwłocznie, jednak nie później niż w terminie 30 dni od dnia jej rozwiązania, zwróci Nabywcy środki wypłacone deweloperowi przez bank lub kasę z otwartego mieszkaniowego rachunku powierniczego w związku z realizacją umowy deweloperskiej.</w:t>
            </w:r>
          </w:p>
          <w:p w14:paraId="56FB953B" w14:textId="77777777" w:rsidR="007C549B" w:rsidRPr="00FF1415" w:rsidRDefault="007C549B" w:rsidP="003561B7">
            <w:pPr>
              <w:spacing w:beforeLines="60" w:before="144" w:afterLines="60" w:after="144" w:line="240" w:lineRule="auto"/>
              <w:rPr>
                <w:rFonts w:ascii="Times New Roman" w:eastAsia="Times New Roman" w:hAnsi="Times New Roman" w:cs="Times New Roman"/>
                <w:i/>
                <w:iCs/>
                <w:sz w:val="20"/>
                <w:szCs w:val="20"/>
                <w:u w:val="single"/>
              </w:rPr>
            </w:pPr>
            <w:r w:rsidRPr="00FF1415">
              <w:rPr>
                <w:rFonts w:ascii="Times New Roman" w:eastAsia="Times New Roman" w:hAnsi="Times New Roman" w:cs="Times New Roman"/>
                <w:i/>
                <w:iCs/>
                <w:sz w:val="20"/>
                <w:szCs w:val="20"/>
                <w:u w:val="single"/>
              </w:rPr>
              <w:t>Informacja dodatkowa.</w:t>
            </w:r>
          </w:p>
          <w:p w14:paraId="7A4E1AEA" w14:textId="03155C64" w:rsidR="007C549B" w:rsidRPr="00FF1415" w:rsidRDefault="007C549B" w:rsidP="007C549B">
            <w:pPr>
              <w:spacing w:beforeLines="60" w:before="144" w:afterLines="60" w:after="144" w:line="240" w:lineRule="auto"/>
              <w:rPr>
                <w:rFonts w:ascii="Times New Roman" w:eastAsia="Times New Roman" w:hAnsi="Times New Roman" w:cs="Times New Roman"/>
                <w:i/>
                <w:iCs/>
                <w:sz w:val="20"/>
                <w:szCs w:val="20"/>
              </w:rPr>
            </w:pPr>
            <w:r w:rsidRPr="00FF1415">
              <w:rPr>
                <w:rFonts w:ascii="Times New Roman" w:eastAsia="Times New Roman" w:hAnsi="Times New Roman" w:cs="Times New Roman"/>
                <w:i/>
                <w:iCs/>
                <w:sz w:val="20"/>
                <w:szCs w:val="20"/>
              </w:rPr>
              <w:t>W przypadku odstąpienia od umowy deweloperskiej przez jedną ze Stron, jak również w przypadku rozwiązania umowy deweloperskiej, przedwstępne umowy sprzedaży dokumentowane aktem notarialnym</w:t>
            </w:r>
            <w:r w:rsidR="009A0D7B" w:rsidRPr="00FF1415">
              <w:rPr>
                <w:rFonts w:ascii="Times New Roman" w:eastAsia="Times New Roman" w:hAnsi="Times New Roman" w:cs="Times New Roman"/>
                <w:i/>
                <w:iCs/>
                <w:sz w:val="20"/>
                <w:szCs w:val="20"/>
              </w:rPr>
              <w:t xml:space="preserve"> (tj. umowa deweloperska oraz przedwstępne umowy sprzedaży)</w:t>
            </w:r>
            <w:r w:rsidRPr="00FF1415">
              <w:rPr>
                <w:rFonts w:ascii="Times New Roman" w:eastAsia="Times New Roman" w:hAnsi="Times New Roman" w:cs="Times New Roman"/>
                <w:i/>
                <w:iCs/>
                <w:sz w:val="20"/>
                <w:szCs w:val="20"/>
              </w:rPr>
              <w:t xml:space="preserve"> ulegają rozwiązaniu (warunek rozwiązujący). </w:t>
            </w:r>
          </w:p>
          <w:p w14:paraId="70A85144" w14:textId="6C8F97E0" w:rsidR="007C549B" w:rsidRPr="007C549B" w:rsidRDefault="007C549B" w:rsidP="007C549B">
            <w:pPr>
              <w:spacing w:beforeLines="60" w:before="144" w:afterLines="60" w:after="144" w:line="240" w:lineRule="auto"/>
              <w:rPr>
                <w:rFonts w:ascii="Times New Roman" w:eastAsia="Times New Roman" w:hAnsi="Times New Roman" w:cs="Times New Roman"/>
                <w:sz w:val="20"/>
                <w:szCs w:val="20"/>
                <w:u w:val="single"/>
              </w:rPr>
            </w:pPr>
            <w:r w:rsidRPr="00FF1415">
              <w:rPr>
                <w:rFonts w:ascii="Times New Roman" w:eastAsia="Times New Roman" w:hAnsi="Times New Roman" w:cs="Times New Roman"/>
                <w:i/>
                <w:iCs/>
                <w:sz w:val="20"/>
                <w:szCs w:val="20"/>
              </w:rPr>
              <w:t>W przypadku ziszczenia się warunku rozwiązującego, o którym mowa powyżej,  stosuje się odpowiednio postanowienia §8 ust. 11,13,14,15,16, 17, 18 i 19 oraz § ust. 3 i 4 aktu notarialnego</w:t>
            </w:r>
            <w:r w:rsidR="009A0D7B" w:rsidRPr="00FF1415">
              <w:rPr>
                <w:rFonts w:ascii="Times New Roman" w:eastAsia="Times New Roman" w:hAnsi="Times New Roman" w:cs="Times New Roman"/>
                <w:i/>
                <w:iCs/>
                <w:sz w:val="20"/>
                <w:szCs w:val="20"/>
              </w:rPr>
              <w:t xml:space="preserve"> (tj. umowa deweloperska oraz przedwstępne umowy sprzedaży)</w:t>
            </w:r>
            <w:r w:rsidRPr="00FF1415">
              <w:rPr>
                <w:rFonts w:ascii="Times New Roman" w:eastAsia="Times New Roman" w:hAnsi="Times New Roman" w:cs="Times New Roman"/>
                <w:i/>
                <w:iCs/>
                <w:sz w:val="20"/>
                <w:szCs w:val="20"/>
              </w:rPr>
              <w:t>.</w:t>
            </w:r>
            <w:r w:rsidRPr="00FF1415">
              <w:rPr>
                <w:rFonts w:ascii="Times New Roman" w:eastAsia="Times New Roman" w:hAnsi="Times New Roman" w:cs="Times New Roman"/>
                <w:sz w:val="20"/>
                <w:szCs w:val="20"/>
              </w:rPr>
              <w:t xml:space="preserve"> </w:t>
            </w:r>
          </w:p>
        </w:tc>
      </w:tr>
      <w:tr w:rsidR="009327A6" w:rsidRPr="00DD7B98" w14:paraId="5AA8349C" w14:textId="77777777" w:rsidTr="00A80C58">
        <w:trPr>
          <w:trHeight w:val="510"/>
        </w:trPr>
        <w:tc>
          <w:tcPr>
            <w:tcW w:w="9648" w:type="dxa"/>
            <w:gridSpan w:val="3"/>
            <w:tcBorders>
              <w:bottom w:val="single" w:sz="4" w:space="0" w:color="auto"/>
            </w:tcBorders>
            <w:shd w:val="clear" w:color="auto" w:fill="D9D9D9"/>
          </w:tcPr>
          <w:p w14:paraId="0826FC42" w14:textId="77777777" w:rsidR="009327A6" w:rsidRPr="0017112E" w:rsidRDefault="009327A6" w:rsidP="00D6706C">
            <w:pPr>
              <w:spacing w:beforeLines="60" w:before="144" w:afterLines="60" w:after="144" w:line="240" w:lineRule="auto"/>
              <w:jc w:val="both"/>
              <w:rPr>
                <w:rFonts w:ascii="Times New Roman" w:eastAsia="Times New Roman" w:hAnsi="Times New Roman" w:cs="Times New Roman"/>
                <w:b/>
                <w:sz w:val="20"/>
                <w:szCs w:val="20"/>
              </w:rPr>
            </w:pPr>
            <w:r w:rsidRPr="0017112E">
              <w:rPr>
                <w:rFonts w:ascii="Times New Roman" w:eastAsia="Times New Roman" w:hAnsi="Times New Roman" w:cs="Times New Roman"/>
                <w:b/>
                <w:sz w:val="20"/>
                <w:szCs w:val="20"/>
              </w:rPr>
              <w:lastRenderedPageBreak/>
              <w:t xml:space="preserve">INNE INFORMACJE </w:t>
            </w:r>
          </w:p>
        </w:tc>
      </w:tr>
      <w:tr w:rsidR="009327A6" w:rsidRPr="00DD7B98" w14:paraId="403DAAE6" w14:textId="77777777" w:rsidTr="00A80C58">
        <w:trPr>
          <w:trHeight w:val="1512"/>
        </w:trPr>
        <w:tc>
          <w:tcPr>
            <w:tcW w:w="9648" w:type="dxa"/>
            <w:gridSpan w:val="3"/>
            <w:tcBorders>
              <w:bottom w:val="nil"/>
            </w:tcBorders>
            <w:shd w:val="clear" w:color="auto" w:fill="F3F3F3"/>
          </w:tcPr>
          <w:p w14:paraId="015046A5"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I. Informacja:</w:t>
            </w:r>
          </w:p>
          <w:p w14:paraId="7FB2DD23" w14:textId="77777777" w:rsidR="0017112E"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1) 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67B058B3" w14:textId="74C1B4B7" w:rsidR="00AE19B3" w:rsidRPr="005C25D9" w:rsidRDefault="00AE19B3"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Nie dotyczy.</w:t>
            </w:r>
          </w:p>
          <w:p w14:paraId="0BDA869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p w14:paraId="596961FC"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AE0DD4F"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1) aktualnym stanem księgi wieczystej prowadzonej dla nieruchomości;</w:t>
            </w:r>
          </w:p>
          <w:p w14:paraId="5F96F497"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3D323D57"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3) pozwoleniem na budowę albo zgłoszeniem budowy, o którym mowa w art. 29 ust. 1 pkt 1 ustawy z dnia 7 lipca 1994 r. – Prawo budowlane, do którego organ administracji architektoniczno-budowlanej nie wniósł sprzeciwu;</w:t>
            </w:r>
          </w:p>
          <w:p w14:paraId="4B680F71"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4) sprawozdaniem finansowym dewelopera za ostatnie dwa lata, a w przypadku:</w:t>
            </w:r>
          </w:p>
          <w:p w14:paraId="72253DE9"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a) prowadzenia działalności przez okres krótszy niż dwa lata – sprawozdaniem finansowym za okres ostatniego</w:t>
            </w:r>
          </w:p>
          <w:p w14:paraId="19C5080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roku,</w:t>
            </w:r>
          </w:p>
          <w:p w14:paraId="36D1120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b) realizacji inwestycji przez spółkę celową – sprawozdaniem spółki dominującej oraz spółki celowej;</w:t>
            </w:r>
          </w:p>
          <w:p w14:paraId="0DACDC67"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5) projektem budowlanym;</w:t>
            </w:r>
          </w:p>
          <w:p w14:paraId="3B9010B1"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6) decyzją o pozwoleniu na użytkowanie budynku lub zawiadomieniem o zakończeniu budowy, do którego organ nadzoru budowlanego nie wniósł sprzeciwu;</w:t>
            </w:r>
          </w:p>
          <w:p w14:paraId="20DD35C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7) zaświadczeniem o samodzielności lokalu;</w:t>
            </w:r>
          </w:p>
          <w:p w14:paraId="61643D0C"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8) aktem ustanowienia odrębnej własności lokalu;</w:t>
            </w:r>
          </w:p>
          <w:p w14:paraId="5D86F2F0"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9) dokumentem potwierdzającym:</w:t>
            </w:r>
          </w:p>
          <w:p w14:paraId="1D22CB8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a) 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5AE630C3"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xml:space="preserve">b) 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t>
            </w:r>
            <w:r w:rsidRPr="005C25D9">
              <w:rPr>
                <w:rFonts w:ascii="Times New Roman" w:eastAsia="Times New Roman" w:hAnsi="Times New Roman" w:cs="Times New Roman"/>
                <w:sz w:val="20"/>
                <w:szCs w:val="20"/>
              </w:rPr>
              <w:lastRenderedPageBreak/>
              <w:t>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p>
          <w:p w14:paraId="4BE99051"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III. Informacja:</w:t>
            </w:r>
          </w:p>
          <w:p w14:paraId="5A524758"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xml:space="preserve"> Środki pieniężne zgromadzone w Banku Spółdzielczym w Skierniewicach z siedzibą w Skierniewicach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187E598"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Informacje podstawowe o obowiązkowym systemie gwarantowania depozytów:</w:t>
            </w:r>
          </w:p>
          <w:p w14:paraId="757FBDE6"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ochrona środków dotyczy sytuacji spełnienia warunku gwarancji wobec Banku Spółdzielczego w Skierniewicach z siedzibą w Skierniewicach [nazwa banku lub kasy prowadzących mieszkaniowy rachunek powierniczy],</w:t>
            </w:r>
          </w:p>
          <w:p w14:paraId="40A51DE9"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19794924"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5CF7A738"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23D6F194"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wypłata środków gwarantowanych – co do zasady – następuje w terminie 7 dni roboczych od dnia spełnienia warunku gwarancji wobec banku lub kasy,</w:t>
            </w:r>
          </w:p>
          <w:p w14:paraId="07FE7344"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wypłata środków gwarantowanych jest dokonywana w złotych,</w:t>
            </w:r>
          </w:p>
          <w:p w14:paraId="4798A988"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 Bank Spółdzielczy w Skierniewicach z siedzibą w Skierniewicach [nazwa banku lub kasy prowadzących mieszkaniowy rachunek powierniczy] korzysta także z następujących znaków towarowych: ...........................</w:t>
            </w:r>
          </w:p>
          <w:p w14:paraId="46AC983A"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6658D065" w14:textId="77777777" w:rsidR="0017112E" w:rsidRPr="005C25D9" w:rsidRDefault="0017112E" w:rsidP="0017112E">
            <w:pPr>
              <w:spacing w:beforeLines="60" w:before="144" w:afterLines="60" w:after="144" w:line="240" w:lineRule="auto"/>
              <w:ind w:left="313" w:hanging="313"/>
              <w:jc w:val="both"/>
              <w:rPr>
                <w:rFonts w:ascii="Times New Roman" w:eastAsia="Times New Roman" w:hAnsi="Times New Roman" w:cs="Times New Roman"/>
                <w:sz w:val="20"/>
                <w:szCs w:val="20"/>
              </w:rPr>
            </w:pPr>
            <w:r w:rsidRPr="005C25D9">
              <w:rPr>
                <w:rFonts w:ascii="Times New Roman" w:eastAsia="Times New Roman" w:hAnsi="Times New Roman" w:cs="Times New Roman"/>
                <w:sz w:val="20"/>
                <w:szCs w:val="20"/>
              </w:rPr>
              <w:t>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w:t>
            </w:r>
          </w:p>
          <w:p w14:paraId="13084B4E" w14:textId="783F9F09" w:rsidR="00603A81" w:rsidRPr="002607E7" w:rsidRDefault="0017112E" w:rsidP="0017112E">
            <w:pPr>
              <w:spacing w:beforeLines="60" w:before="144" w:afterLines="60" w:after="144" w:line="240" w:lineRule="auto"/>
              <w:ind w:left="313" w:hanging="313"/>
              <w:jc w:val="both"/>
              <w:rPr>
                <w:rFonts w:ascii="Times New Roman" w:eastAsia="Times New Roman" w:hAnsi="Times New Roman" w:cs="Times New Roman"/>
                <w:color w:val="FF0000"/>
                <w:sz w:val="20"/>
                <w:szCs w:val="20"/>
              </w:rPr>
            </w:pPr>
            <w:r w:rsidRPr="005C25D9">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rsidR="009327A6" w:rsidRPr="00DD7B98" w14:paraId="1911B676" w14:textId="77777777" w:rsidTr="00603A81">
        <w:trPr>
          <w:trHeight w:val="70"/>
        </w:trPr>
        <w:tc>
          <w:tcPr>
            <w:tcW w:w="9648" w:type="dxa"/>
            <w:gridSpan w:val="3"/>
            <w:tcBorders>
              <w:top w:val="nil"/>
            </w:tcBorders>
            <w:shd w:val="clear" w:color="auto" w:fill="FFFFFF"/>
          </w:tcPr>
          <w:p w14:paraId="0A166AF4" w14:textId="63D6667F" w:rsidR="009327A6" w:rsidRPr="00DD7B98" w:rsidRDefault="009327A6" w:rsidP="00603A81">
            <w:pPr>
              <w:spacing w:beforeLines="60" w:before="144" w:afterLines="60" w:after="144" w:line="240" w:lineRule="auto"/>
              <w:jc w:val="both"/>
              <w:rPr>
                <w:rFonts w:ascii="Times New Roman" w:eastAsia="Times New Roman" w:hAnsi="Times New Roman" w:cs="Times New Roman"/>
                <w:sz w:val="20"/>
                <w:szCs w:val="20"/>
              </w:rPr>
            </w:pPr>
          </w:p>
        </w:tc>
      </w:tr>
    </w:tbl>
    <w:p w14:paraId="57917999" w14:textId="77777777" w:rsidR="00A80C58" w:rsidRPr="00DD7B9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37BA0FCF" w14:textId="7F843151" w:rsidR="00EA1C22" w:rsidRDefault="00912F6A" w:rsidP="0069541E">
      <w:pPr>
        <w:spacing w:beforeLines="60" w:before="144" w:afterLines="60" w:after="144" w:line="240" w:lineRule="auto"/>
        <w:rPr>
          <w:rFonts w:ascii="Times New Roman" w:eastAsia="Times New Roman" w:hAnsi="Times New Roman" w:cs="Times New Roman"/>
          <w:b/>
          <w:bCs/>
          <w:sz w:val="20"/>
          <w:szCs w:val="20"/>
        </w:rPr>
      </w:pPr>
      <w:r w:rsidRPr="005C25D9">
        <w:rPr>
          <w:rFonts w:ascii="Times New Roman" w:eastAsia="Times New Roman" w:hAnsi="Times New Roman" w:cs="Times New Roman"/>
          <w:b/>
          <w:bCs/>
          <w:sz w:val="20"/>
          <w:szCs w:val="20"/>
        </w:rPr>
        <w:t>CZĘŚĆ INDYWIDUALNA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912F6A" w:rsidRPr="00DD7B98" w14:paraId="043A6412" w14:textId="77777777" w:rsidTr="00A1703E">
        <w:trPr>
          <w:trHeight w:val="293"/>
        </w:trPr>
        <w:tc>
          <w:tcPr>
            <w:tcW w:w="2810" w:type="dxa"/>
            <w:shd w:val="clear" w:color="auto" w:fill="F3F3F3"/>
          </w:tcPr>
          <w:p w14:paraId="73EF67E0" w14:textId="0DAAD1F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lokalu mieszkalnego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domu jednorodzinnego</w:t>
            </w:r>
          </w:p>
        </w:tc>
        <w:tc>
          <w:tcPr>
            <w:tcW w:w="6838" w:type="dxa"/>
            <w:gridSpan w:val="2"/>
          </w:tcPr>
          <w:p w14:paraId="784CFAC0" w14:textId="07B8D332" w:rsidR="00912F6A" w:rsidRDefault="005C25D9" w:rsidP="0069541E">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Cena lokalu nr </w:t>
            </w:r>
            <w:r w:rsidR="00496E5F">
              <w:rPr>
                <w:rFonts w:ascii="Times New Roman" w:eastAsia="Times New Roman" w:hAnsi="Times New Roman" w:cs="Times New Roman"/>
                <w:sz w:val="20"/>
                <w:szCs w:val="20"/>
                <w:lang w:eastAsia="pl-PL"/>
              </w:rPr>
              <w:t>[</w:t>
            </w:r>
            <w:r w:rsidR="00496E5F">
              <w:rPr>
                <w:rFonts w:ascii="Times New Roman" w:eastAsia="Times New Roman" w:hAnsi="Times New Roman" w:cs="Times New Roman"/>
                <w:sz w:val="20"/>
                <w:szCs w:val="20"/>
                <w:shd w:val="clear" w:color="auto" w:fill="FF00FF"/>
                <w:lang w:eastAsia="pl-PL"/>
              </w:rPr>
              <w:t>…</w:t>
            </w:r>
            <w:r w:rsidR="00496E5F">
              <w:rPr>
                <w:rFonts w:ascii="Times New Roman" w:eastAsia="Times New Roman" w:hAnsi="Times New Roman" w:cs="Times New Roman"/>
                <w:sz w:val="20"/>
                <w:szCs w:val="20"/>
                <w:lang w:eastAsia="pl-PL"/>
              </w:rPr>
              <w:t>]</w:t>
            </w:r>
            <w:r w:rsidR="003561B7">
              <w:rPr>
                <w:rFonts w:ascii="Times New Roman" w:eastAsia="Times New Roman" w:hAnsi="Times New Roman" w:cs="Times New Roman"/>
                <w:sz w:val="20"/>
                <w:szCs w:val="20"/>
                <w:lang w:eastAsia="pl-PL"/>
              </w:rPr>
              <w:t xml:space="preserve"> </w:t>
            </w:r>
            <w:r w:rsidR="00AE19B3">
              <w:rPr>
                <w:rFonts w:ascii="Times New Roman" w:eastAsia="Times New Roman" w:hAnsi="Times New Roman" w:cs="Times New Roman"/>
                <w:sz w:val="20"/>
                <w:szCs w:val="20"/>
                <w:lang w:eastAsia="pl-PL"/>
              </w:rPr>
              <w:t>znajdującego się w budynku [</w:t>
            </w:r>
            <w:r w:rsidR="00AE19B3">
              <w:rPr>
                <w:rFonts w:ascii="Times New Roman" w:eastAsia="Times New Roman" w:hAnsi="Times New Roman" w:cs="Times New Roman"/>
                <w:sz w:val="20"/>
                <w:szCs w:val="20"/>
                <w:shd w:val="clear" w:color="auto" w:fill="FF00FF"/>
                <w:lang w:eastAsia="pl-PL"/>
              </w:rPr>
              <w:t>…</w:t>
            </w:r>
            <w:r w:rsidR="00AE19B3">
              <w:rPr>
                <w:rFonts w:ascii="Times New Roman" w:eastAsia="Times New Roman" w:hAnsi="Times New Roman" w:cs="Times New Roman"/>
                <w:sz w:val="20"/>
                <w:szCs w:val="20"/>
                <w:lang w:eastAsia="pl-PL"/>
              </w:rPr>
              <w:t>]</w:t>
            </w:r>
            <w:r w:rsidR="003561B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wynosi – [</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11F9BF38" w14:textId="77777777" w:rsidR="00326012" w:rsidRDefault="003561B7" w:rsidP="0069541E">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udziału w Drodze</w:t>
            </w:r>
            <w:r w:rsidR="00AE19B3">
              <w:rPr>
                <w:rFonts w:ascii="Times New Roman" w:eastAsia="Times New Roman" w:hAnsi="Times New Roman" w:cs="Times New Roman"/>
                <w:sz w:val="20"/>
                <w:szCs w:val="20"/>
                <w:lang w:eastAsia="pl-PL"/>
              </w:rPr>
              <w:t xml:space="preserve"> </w:t>
            </w:r>
            <w:r w:rsidR="00326012">
              <w:rPr>
                <w:rFonts w:ascii="Times New Roman" w:eastAsia="Times New Roman" w:hAnsi="Times New Roman" w:cs="Times New Roman"/>
                <w:sz w:val="20"/>
                <w:szCs w:val="20"/>
                <w:lang w:eastAsia="pl-PL"/>
              </w:rPr>
              <w:t>wynosi – [</w:t>
            </w:r>
            <w:r w:rsidR="00326012">
              <w:rPr>
                <w:rFonts w:ascii="Times New Roman" w:eastAsia="Times New Roman" w:hAnsi="Times New Roman" w:cs="Times New Roman"/>
                <w:sz w:val="20"/>
                <w:szCs w:val="20"/>
                <w:shd w:val="clear" w:color="auto" w:fill="FF00FF"/>
                <w:lang w:eastAsia="pl-PL"/>
              </w:rPr>
              <w:t>…</w:t>
            </w:r>
            <w:r w:rsidR="00326012">
              <w:rPr>
                <w:rFonts w:ascii="Times New Roman" w:eastAsia="Times New Roman" w:hAnsi="Times New Roman" w:cs="Times New Roman"/>
                <w:sz w:val="20"/>
                <w:szCs w:val="20"/>
                <w:lang w:eastAsia="pl-PL"/>
              </w:rPr>
              <w:t>]</w:t>
            </w:r>
          </w:p>
          <w:p w14:paraId="72886C2E" w14:textId="396B57C4" w:rsidR="003561B7" w:rsidRDefault="00326012" w:rsidP="0069541E">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udziału w</w:t>
            </w:r>
            <w:r w:rsidR="00AE19B3">
              <w:rPr>
                <w:rFonts w:ascii="Times New Roman" w:eastAsia="Times New Roman" w:hAnsi="Times New Roman" w:cs="Times New Roman"/>
                <w:sz w:val="20"/>
                <w:szCs w:val="20"/>
                <w:lang w:eastAsia="pl-PL"/>
              </w:rPr>
              <w:t xml:space="preserve"> Działce Leśnej</w:t>
            </w:r>
            <w:r w:rsidR="003561B7">
              <w:rPr>
                <w:rFonts w:ascii="Times New Roman" w:eastAsia="Times New Roman" w:hAnsi="Times New Roman" w:cs="Times New Roman"/>
                <w:sz w:val="20"/>
                <w:szCs w:val="20"/>
                <w:lang w:eastAsia="pl-PL"/>
              </w:rPr>
              <w:t xml:space="preserve"> wynosi – [</w:t>
            </w:r>
            <w:r w:rsidR="003561B7">
              <w:rPr>
                <w:rFonts w:ascii="Times New Roman" w:eastAsia="Times New Roman" w:hAnsi="Times New Roman" w:cs="Times New Roman"/>
                <w:sz w:val="20"/>
                <w:szCs w:val="20"/>
                <w:shd w:val="clear" w:color="auto" w:fill="FF00FF"/>
                <w:lang w:eastAsia="pl-PL"/>
              </w:rPr>
              <w:t>…</w:t>
            </w:r>
            <w:r w:rsidR="003561B7">
              <w:rPr>
                <w:rFonts w:ascii="Times New Roman" w:eastAsia="Times New Roman" w:hAnsi="Times New Roman" w:cs="Times New Roman"/>
                <w:sz w:val="20"/>
                <w:szCs w:val="20"/>
                <w:lang w:eastAsia="pl-PL"/>
              </w:rPr>
              <w:t>]</w:t>
            </w:r>
          </w:p>
          <w:p w14:paraId="427100D9" w14:textId="02C31BF0" w:rsidR="003561B7" w:rsidRPr="00DD7B98" w:rsidRDefault="003561B7"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 xml:space="preserve">Cena </w:t>
            </w:r>
            <w:r w:rsidR="00BF1417">
              <w:rPr>
                <w:rFonts w:ascii="Times New Roman" w:eastAsia="Times New Roman" w:hAnsi="Times New Roman" w:cs="Times New Roman"/>
                <w:sz w:val="20"/>
                <w:szCs w:val="20"/>
                <w:lang w:eastAsia="pl-PL"/>
              </w:rPr>
              <w:t>łączna</w:t>
            </w:r>
            <w:r>
              <w:rPr>
                <w:rFonts w:ascii="Times New Roman" w:eastAsia="Times New Roman" w:hAnsi="Times New Roman" w:cs="Times New Roman"/>
                <w:sz w:val="20"/>
                <w:szCs w:val="20"/>
                <w:lang w:eastAsia="pl-PL"/>
              </w:rPr>
              <w:t xml:space="preserve"> wynosi – [</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0A820390" w14:textId="77777777" w:rsidTr="00A1703E">
        <w:trPr>
          <w:trHeight w:val="488"/>
        </w:trPr>
        <w:tc>
          <w:tcPr>
            <w:tcW w:w="2810" w:type="dxa"/>
            <w:shd w:val="clear" w:color="auto" w:fill="F3F3F3"/>
          </w:tcPr>
          <w:p w14:paraId="4F1DB4D8" w14:textId="2C5096A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lastRenderedPageBreak/>
              <w:t>Powierzchnia użytkowa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41AFA60C" w14:textId="5EF15225" w:rsidR="00912F6A" w:rsidRPr="00DD7B98" w:rsidRDefault="00FC37F0"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5FA41229" w14:textId="77777777" w:rsidTr="00A1703E">
        <w:trPr>
          <w:trHeight w:val="292"/>
        </w:trPr>
        <w:tc>
          <w:tcPr>
            <w:tcW w:w="2810" w:type="dxa"/>
            <w:shd w:val="clear" w:color="auto" w:fill="F3F3F3"/>
          </w:tcPr>
          <w:p w14:paraId="38CF5FB0" w14:textId="22954101"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m</w:t>
            </w:r>
            <w:r w:rsidRPr="00912F6A">
              <w:rPr>
                <w:rFonts w:ascii="Times New Roman" w:eastAsia="Times New Roman" w:hAnsi="Times New Roman" w:cs="Times New Roman"/>
                <w:sz w:val="20"/>
                <w:szCs w:val="20"/>
                <w:vertAlign w:val="superscript"/>
              </w:rPr>
              <w:t>2</w:t>
            </w:r>
            <w:r w:rsidRPr="00912F6A">
              <w:rPr>
                <w:rFonts w:ascii="Times New Roman" w:eastAsia="Times New Roman" w:hAnsi="Times New Roman" w:cs="Times New Roman"/>
                <w:sz w:val="20"/>
                <w:szCs w:val="20"/>
              </w:rPr>
              <w:t xml:space="preserve"> powierzchni </w:t>
            </w:r>
            <w:r>
              <w:rPr>
                <w:rFonts w:ascii="Times New Roman" w:eastAsia="Times New Roman" w:hAnsi="Times New Roman" w:cs="Times New Roman"/>
                <w:sz w:val="20"/>
                <w:szCs w:val="20"/>
              </w:rPr>
              <w:t>u</w:t>
            </w:r>
            <w:r w:rsidRPr="00912F6A">
              <w:rPr>
                <w:rFonts w:ascii="Times New Roman" w:eastAsia="Times New Roman" w:hAnsi="Times New Roman" w:cs="Times New Roman"/>
                <w:sz w:val="20"/>
                <w:szCs w:val="20"/>
              </w:rPr>
              <w:t>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lokalu 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0696BB82" w14:textId="7F3C2331" w:rsidR="00912F6A" w:rsidRPr="00282D6F" w:rsidRDefault="00FC37F0" w:rsidP="0069541E">
            <w:pPr>
              <w:spacing w:beforeLines="60" w:before="144" w:afterLines="60" w:after="144" w:line="240" w:lineRule="auto"/>
              <w:rPr>
                <w:rFonts w:ascii="Times New Roman" w:eastAsia="Times New Roman" w:hAnsi="Times New Roman" w:cs="Times New Roman"/>
                <w:sz w:val="20"/>
                <w:szCs w:val="20"/>
              </w:rPr>
            </w:pPr>
            <w:r w:rsidRPr="00282D6F">
              <w:rPr>
                <w:rFonts w:ascii="Times New Roman" w:eastAsia="Times New Roman" w:hAnsi="Times New Roman" w:cs="Times New Roman"/>
                <w:sz w:val="20"/>
                <w:szCs w:val="20"/>
                <w:lang w:eastAsia="pl-PL"/>
              </w:rPr>
              <w:t>[</w:t>
            </w:r>
            <w:r w:rsidRPr="00282D6F">
              <w:rPr>
                <w:rFonts w:ascii="Times New Roman" w:eastAsia="Times New Roman" w:hAnsi="Times New Roman" w:cs="Times New Roman"/>
                <w:sz w:val="20"/>
                <w:szCs w:val="20"/>
                <w:shd w:val="clear" w:color="auto" w:fill="FF00FF"/>
                <w:lang w:eastAsia="pl-PL"/>
              </w:rPr>
              <w:t>…</w:t>
            </w:r>
            <w:r w:rsidRPr="00282D6F">
              <w:rPr>
                <w:rFonts w:ascii="Times New Roman" w:eastAsia="Times New Roman" w:hAnsi="Times New Roman" w:cs="Times New Roman"/>
                <w:sz w:val="20"/>
                <w:szCs w:val="20"/>
                <w:lang w:eastAsia="pl-PL"/>
              </w:rPr>
              <w:t>]</w:t>
            </w:r>
          </w:p>
        </w:tc>
      </w:tr>
      <w:tr w:rsidR="00912F6A" w:rsidRPr="00DD7B98" w14:paraId="33A6387B"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647BFD1D" w14:textId="534B150B" w:rsidR="00912F6A" w:rsidRPr="00805034" w:rsidRDefault="00912F6A" w:rsidP="0069541E">
            <w:pPr>
              <w:spacing w:beforeLines="60" w:before="144" w:afterLines="60" w:after="144" w:line="240" w:lineRule="auto"/>
              <w:rPr>
                <w:rFonts w:ascii="Times New Roman" w:eastAsia="Times New Roman" w:hAnsi="Times New Roman" w:cs="Times New Roman"/>
                <w:sz w:val="20"/>
                <w:szCs w:val="20"/>
              </w:rPr>
            </w:pPr>
            <w:r w:rsidRPr="00805034">
              <w:rPr>
                <w:rFonts w:ascii="Times New Roman" w:eastAsia="Times New Roman" w:hAnsi="Times New Roman" w:cs="Times New Roman"/>
                <w:sz w:val="20"/>
                <w:szCs w:val="20"/>
              </w:rPr>
              <w:t>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w:t>
            </w:r>
          </w:p>
        </w:tc>
        <w:tc>
          <w:tcPr>
            <w:tcW w:w="6838" w:type="dxa"/>
            <w:gridSpan w:val="2"/>
            <w:tcBorders>
              <w:top w:val="single" w:sz="4" w:space="0" w:color="auto"/>
              <w:left w:val="single" w:sz="4" w:space="0" w:color="auto"/>
              <w:bottom w:val="single" w:sz="4" w:space="0" w:color="auto"/>
              <w:right w:val="single" w:sz="4" w:space="0" w:color="auto"/>
            </w:tcBorders>
          </w:tcPr>
          <w:p w14:paraId="03AA3454" w14:textId="061B051C" w:rsidR="00912F6A" w:rsidRPr="00805034" w:rsidRDefault="00805034" w:rsidP="00D56FB2">
            <w:pPr>
              <w:spacing w:beforeLines="60" w:before="144" w:afterLines="60" w:after="144" w:line="240" w:lineRule="auto"/>
              <w:rPr>
                <w:rFonts w:ascii="Times New Roman" w:eastAsia="Times New Roman" w:hAnsi="Times New Roman" w:cs="Times New Roman"/>
                <w:b/>
                <w:bCs/>
                <w:sz w:val="20"/>
                <w:szCs w:val="20"/>
              </w:rPr>
            </w:pPr>
            <w:r w:rsidRPr="00805034">
              <w:rPr>
                <w:rFonts w:ascii="Times New Roman" w:eastAsia="Times New Roman" w:hAnsi="Times New Roman" w:cs="Times New Roman"/>
                <w:b/>
                <w:bCs/>
                <w:sz w:val="20"/>
                <w:szCs w:val="20"/>
                <w:lang w:eastAsia="pl-PL"/>
              </w:rPr>
              <w:t>31.12</w:t>
            </w:r>
            <w:r w:rsidR="007E7A4C" w:rsidRPr="00805034">
              <w:rPr>
                <w:rFonts w:ascii="Times New Roman" w:eastAsia="Times New Roman" w:hAnsi="Times New Roman" w:cs="Times New Roman"/>
                <w:b/>
                <w:bCs/>
                <w:sz w:val="20"/>
                <w:szCs w:val="20"/>
                <w:lang w:eastAsia="pl-PL"/>
              </w:rPr>
              <w:t>.2027</w:t>
            </w:r>
            <w:r w:rsidR="00496E5F" w:rsidRPr="00805034">
              <w:rPr>
                <w:rFonts w:ascii="Times New Roman" w:eastAsia="Times New Roman" w:hAnsi="Times New Roman" w:cs="Times New Roman"/>
                <w:b/>
                <w:bCs/>
                <w:sz w:val="20"/>
                <w:szCs w:val="20"/>
                <w:lang w:eastAsia="pl-PL"/>
              </w:rPr>
              <w:t xml:space="preserve"> r.</w:t>
            </w:r>
          </w:p>
        </w:tc>
      </w:tr>
      <w:tr w:rsidR="00912F6A" w:rsidRPr="00DD7B98" w14:paraId="4A706DF3" w14:textId="77777777" w:rsidTr="00A1703E">
        <w:trPr>
          <w:trHeight w:val="570"/>
        </w:trPr>
        <w:tc>
          <w:tcPr>
            <w:tcW w:w="2810" w:type="dxa"/>
            <w:vMerge w:val="restart"/>
            <w:tcBorders>
              <w:top w:val="single" w:sz="4" w:space="0" w:color="auto"/>
              <w:left w:val="single" w:sz="4" w:space="0" w:color="auto"/>
              <w:right w:val="single" w:sz="4" w:space="0" w:color="auto"/>
            </w:tcBorders>
            <w:shd w:val="clear" w:color="auto" w:fill="F3F3F3"/>
          </w:tcPr>
          <w:p w14:paraId="0AD1A8D8" w14:textId="657C452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położenia oraz istotnych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cech domu jednorodzinnego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budynku, w którym ma znajdować</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lokal mieszkalny będący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przedmiotem umowy rezerwacyjnej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albo umowy deweloperskiej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jednej z umów, o których mowa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 art. 2 ust. 1 pkt 2, 3 lub 5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 2 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3419" w:type="dxa"/>
            <w:tcBorders>
              <w:top w:val="single" w:sz="4" w:space="0" w:color="auto"/>
              <w:left w:val="single" w:sz="4" w:space="0" w:color="auto"/>
              <w:bottom w:val="single" w:sz="4" w:space="0" w:color="auto"/>
              <w:right w:val="single" w:sz="4" w:space="0" w:color="auto"/>
            </w:tcBorders>
          </w:tcPr>
          <w:p w14:paraId="4F7B84C5" w14:textId="6EA7A354"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kondygnacji</w:t>
            </w:r>
          </w:p>
        </w:tc>
        <w:tc>
          <w:tcPr>
            <w:tcW w:w="3419" w:type="dxa"/>
            <w:tcBorders>
              <w:top w:val="single" w:sz="4" w:space="0" w:color="auto"/>
              <w:left w:val="single" w:sz="4" w:space="0" w:color="auto"/>
              <w:bottom w:val="single" w:sz="4" w:space="0" w:color="auto"/>
              <w:right w:val="single" w:sz="4" w:space="0" w:color="auto"/>
            </w:tcBorders>
          </w:tcPr>
          <w:p w14:paraId="28471800" w14:textId="7B7509B5"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II</w:t>
            </w:r>
          </w:p>
        </w:tc>
      </w:tr>
      <w:tr w:rsidR="00912F6A" w:rsidRPr="00DD7B98" w14:paraId="4E5288F8" w14:textId="77777777" w:rsidTr="00A1703E">
        <w:trPr>
          <w:trHeight w:val="567"/>
        </w:trPr>
        <w:tc>
          <w:tcPr>
            <w:tcW w:w="2810" w:type="dxa"/>
            <w:vMerge/>
            <w:tcBorders>
              <w:left w:val="single" w:sz="4" w:space="0" w:color="auto"/>
              <w:right w:val="single" w:sz="4" w:space="0" w:color="auto"/>
            </w:tcBorders>
            <w:shd w:val="clear" w:color="auto" w:fill="F3F3F3"/>
          </w:tcPr>
          <w:p w14:paraId="69286BE8"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324C8E9" w14:textId="082FFF79"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Technologia wykonania</w:t>
            </w:r>
          </w:p>
        </w:tc>
        <w:tc>
          <w:tcPr>
            <w:tcW w:w="3419" w:type="dxa"/>
            <w:tcBorders>
              <w:top w:val="single" w:sz="4" w:space="0" w:color="auto"/>
              <w:left w:val="single" w:sz="4" w:space="0" w:color="auto"/>
              <w:bottom w:val="single" w:sz="4" w:space="0" w:color="auto"/>
              <w:right w:val="single" w:sz="4" w:space="0" w:color="auto"/>
            </w:tcBorders>
          </w:tcPr>
          <w:p w14:paraId="4EC09CF7" w14:textId="0F22C46C" w:rsidR="00912F6A" w:rsidRPr="00DD7B98" w:rsidRDefault="003754A7"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budynku i terenie wokół niego, stanowiącym część wspólną nieruchomości.</w:t>
            </w:r>
          </w:p>
        </w:tc>
      </w:tr>
      <w:tr w:rsidR="00912F6A" w:rsidRPr="00DD7B98" w14:paraId="7A3779D4" w14:textId="77777777" w:rsidTr="00496E5F">
        <w:trPr>
          <w:trHeight w:val="1633"/>
        </w:trPr>
        <w:tc>
          <w:tcPr>
            <w:tcW w:w="2810" w:type="dxa"/>
            <w:vMerge/>
            <w:tcBorders>
              <w:left w:val="single" w:sz="4" w:space="0" w:color="auto"/>
              <w:right w:val="single" w:sz="4" w:space="0" w:color="auto"/>
            </w:tcBorders>
            <w:shd w:val="clear" w:color="auto" w:fill="F3F3F3"/>
          </w:tcPr>
          <w:p w14:paraId="4F5D78BF"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1464FD6" w14:textId="6799EF23"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Standard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w:t>
            </w:r>
            <w:r w:rsidR="00273AB4">
              <w:rPr>
                <w:rFonts w:ascii="Times New Roman" w:eastAsia="Times New Roman" w:hAnsi="Times New Roman" w:cs="Times New Roman"/>
                <w:sz w:val="20"/>
                <w:szCs w:val="20"/>
              </w:rPr>
              <w:t> </w:t>
            </w:r>
            <w:r w:rsidRPr="00912F6A">
              <w:rPr>
                <w:rFonts w:ascii="Times New Roman" w:eastAsia="Times New Roman" w:hAnsi="Times New Roman" w:cs="Times New Roman"/>
                <w:sz w:val="20"/>
                <w:szCs w:val="20"/>
              </w:rPr>
              <w:t>części wspólnej budynku i terenie wokół niego, stanowiącym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część wspólną nieruchomości</w:t>
            </w:r>
          </w:p>
        </w:tc>
        <w:tc>
          <w:tcPr>
            <w:tcW w:w="3419" w:type="dxa"/>
            <w:tcBorders>
              <w:top w:val="single" w:sz="4" w:space="0" w:color="auto"/>
              <w:left w:val="single" w:sz="4" w:space="0" w:color="auto"/>
              <w:bottom w:val="single" w:sz="4" w:space="0" w:color="auto"/>
              <w:right w:val="single" w:sz="4" w:space="0" w:color="auto"/>
            </w:tcBorders>
          </w:tcPr>
          <w:p w14:paraId="4FEE0B61" w14:textId="7D03A843" w:rsidR="00912F6A" w:rsidRPr="00DD7B98" w:rsidRDefault="003754A7"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budynku i terenie wokół niego, stanowiącym część wspólną nieruchomości.</w:t>
            </w:r>
          </w:p>
        </w:tc>
      </w:tr>
      <w:tr w:rsidR="00912F6A" w:rsidRPr="00DD7B98" w14:paraId="59DFF623" w14:textId="77777777" w:rsidTr="00A1703E">
        <w:trPr>
          <w:trHeight w:val="567"/>
        </w:trPr>
        <w:tc>
          <w:tcPr>
            <w:tcW w:w="2810" w:type="dxa"/>
            <w:vMerge/>
            <w:tcBorders>
              <w:left w:val="single" w:sz="4" w:space="0" w:color="auto"/>
              <w:right w:val="single" w:sz="4" w:space="0" w:color="auto"/>
            </w:tcBorders>
            <w:shd w:val="clear" w:color="auto" w:fill="F3F3F3"/>
          </w:tcPr>
          <w:p w14:paraId="3D49A1F1"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5FEC1DD4" w14:textId="4D64FBE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lokali w budynku</w:t>
            </w:r>
          </w:p>
        </w:tc>
        <w:tc>
          <w:tcPr>
            <w:tcW w:w="3419" w:type="dxa"/>
            <w:tcBorders>
              <w:top w:val="single" w:sz="4" w:space="0" w:color="auto"/>
              <w:left w:val="single" w:sz="4" w:space="0" w:color="auto"/>
              <w:bottom w:val="single" w:sz="4" w:space="0" w:color="auto"/>
              <w:right w:val="single" w:sz="4" w:space="0" w:color="auto"/>
            </w:tcBorders>
          </w:tcPr>
          <w:p w14:paraId="4CD671FE" w14:textId="3F5C5AEC" w:rsidR="00912F6A" w:rsidRPr="00DD7B98" w:rsidRDefault="007E4FB5"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Dwa</w:t>
            </w:r>
            <w:r w:rsidR="00496E5F">
              <w:rPr>
                <w:rFonts w:ascii="Times New Roman" w:eastAsia="Times New Roman" w:hAnsi="Times New Roman" w:cs="Times New Roman"/>
                <w:bCs/>
                <w:sz w:val="20"/>
                <w:szCs w:val="20"/>
                <w:lang w:eastAsia="pl-PL"/>
              </w:rPr>
              <w:t xml:space="preserve"> lokale mieszkalne</w:t>
            </w:r>
            <w:r w:rsidR="00BF1417">
              <w:rPr>
                <w:rFonts w:ascii="Times New Roman" w:eastAsia="Times New Roman" w:hAnsi="Times New Roman" w:cs="Times New Roman"/>
                <w:bCs/>
                <w:sz w:val="20"/>
                <w:szCs w:val="20"/>
                <w:lang w:eastAsia="pl-PL"/>
              </w:rPr>
              <w:t xml:space="preserve"> </w:t>
            </w:r>
            <w:r w:rsidR="00A77E1B">
              <w:rPr>
                <w:rFonts w:ascii="Times New Roman" w:eastAsia="Times New Roman" w:hAnsi="Times New Roman" w:cs="Times New Roman"/>
                <w:bCs/>
                <w:sz w:val="20"/>
                <w:szCs w:val="20"/>
                <w:lang w:eastAsia="pl-PL"/>
              </w:rPr>
              <w:t>w każdym z budynków</w:t>
            </w:r>
            <w:r w:rsidR="00B66015">
              <w:rPr>
                <w:rFonts w:ascii="Times New Roman" w:eastAsia="Times New Roman" w:hAnsi="Times New Roman" w:cs="Times New Roman"/>
                <w:bCs/>
                <w:sz w:val="20"/>
                <w:szCs w:val="20"/>
                <w:lang w:eastAsia="pl-PL"/>
              </w:rPr>
              <w:t>.</w:t>
            </w:r>
          </w:p>
        </w:tc>
      </w:tr>
      <w:tr w:rsidR="00912F6A" w:rsidRPr="00DD7B98" w14:paraId="6EA2A487" w14:textId="77777777" w:rsidTr="00A1703E">
        <w:trPr>
          <w:trHeight w:val="567"/>
        </w:trPr>
        <w:tc>
          <w:tcPr>
            <w:tcW w:w="2810" w:type="dxa"/>
            <w:vMerge/>
            <w:tcBorders>
              <w:left w:val="single" w:sz="4" w:space="0" w:color="auto"/>
              <w:right w:val="single" w:sz="4" w:space="0" w:color="auto"/>
            </w:tcBorders>
            <w:shd w:val="clear" w:color="auto" w:fill="F3F3F3"/>
          </w:tcPr>
          <w:p w14:paraId="7FF286E2"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0B35F575" w14:textId="69200976"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miejsc garażowych i</w:t>
            </w:r>
            <w:r w:rsidR="00273AB4">
              <w:rPr>
                <w:rFonts w:ascii="Times New Roman" w:eastAsia="Times New Roman" w:hAnsi="Times New Roman" w:cs="Times New Roman"/>
                <w:sz w:val="20"/>
                <w:szCs w:val="20"/>
              </w:rPr>
              <w:t> </w:t>
            </w:r>
            <w:r w:rsidRPr="00912F6A">
              <w:rPr>
                <w:rFonts w:ascii="Times New Roman" w:eastAsia="Times New Roman" w:hAnsi="Times New Roman" w:cs="Times New Roman"/>
                <w:sz w:val="20"/>
                <w:szCs w:val="20"/>
              </w:rPr>
              <w:t>postojowych</w:t>
            </w:r>
          </w:p>
        </w:tc>
        <w:tc>
          <w:tcPr>
            <w:tcW w:w="3419" w:type="dxa"/>
            <w:tcBorders>
              <w:top w:val="single" w:sz="4" w:space="0" w:color="auto"/>
              <w:left w:val="single" w:sz="4" w:space="0" w:color="auto"/>
              <w:bottom w:val="single" w:sz="4" w:space="0" w:color="auto"/>
              <w:right w:val="single" w:sz="4" w:space="0" w:color="auto"/>
            </w:tcBorders>
          </w:tcPr>
          <w:p w14:paraId="162D9B11" w14:textId="367549CC" w:rsidR="00912F6A" w:rsidRPr="00DD7B98" w:rsidRDefault="00854F3E"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Jedno</w:t>
            </w:r>
            <w:r w:rsidR="00496E5F">
              <w:rPr>
                <w:rFonts w:ascii="Times New Roman" w:eastAsia="Times New Roman" w:hAnsi="Times New Roman" w:cs="Times New Roman"/>
                <w:bCs/>
                <w:sz w:val="20"/>
                <w:szCs w:val="20"/>
                <w:lang w:eastAsia="pl-PL"/>
              </w:rPr>
              <w:t xml:space="preserve"> na każdy z lokali.</w:t>
            </w:r>
          </w:p>
        </w:tc>
      </w:tr>
      <w:tr w:rsidR="00912F6A" w:rsidRPr="00DD7B98" w14:paraId="2982B7E3" w14:textId="77777777" w:rsidTr="00A1703E">
        <w:trPr>
          <w:trHeight w:val="567"/>
        </w:trPr>
        <w:tc>
          <w:tcPr>
            <w:tcW w:w="2810" w:type="dxa"/>
            <w:vMerge/>
            <w:tcBorders>
              <w:left w:val="single" w:sz="4" w:space="0" w:color="auto"/>
              <w:right w:val="single" w:sz="4" w:space="0" w:color="auto"/>
            </w:tcBorders>
            <w:shd w:val="clear" w:color="auto" w:fill="F3F3F3"/>
          </w:tcPr>
          <w:p w14:paraId="708EC893"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45CFCEEB" w14:textId="67AEB655"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Dostępne media w budynku</w:t>
            </w:r>
          </w:p>
        </w:tc>
        <w:tc>
          <w:tcPr>
            <w:tcW w:w="3419" w:type="dxa"/>
            <w:tcBorders>
              <w:top w:val="single" w:sz="4" w:space="0" w:color="auto"/>
              <w:left w:val="single" w:sz="4" w:space="0" w:color="auto"/>
              <w:bottom w:val="single" w:sz="4" w:space="0" w:color="auto"/>
              <w:right w:val="single" w:sz="4" w:space="0" w:color="auto"/>
            </w:tcBorders>
          </w:tcPr>
          <w:p w14:paraId="30B1A138" w14:textId="527B3569" w:rsidR="00912F6A" w:rsidRPr="00DD7B98" w:rsidRDefault="00F5181D"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prąd, woda, </w:t>
            </w:r>
            <w:r w:rsidR="00AE19B3">
              <w:rPr>
                <w:rFonts w:ascii="Times New Roman" w:eastAsia="Times New Roman" w:hAnsi="Times New Roman" w:cs="Times New Roman"/>
                <w:bCs/>
                <w:sz w:val="20"/>
                <w:szCs w:val="20"/>
                <w:lang w:eastAsia="pl-PL"/>
              </w:rPr>
              <w:t>kanalizacja.</w:t>
            </w:r>
          </w:p>
        </w:tc>
      </w:tr>
      <w:tr w:rsidR="00912F6A" w:rsidRPr="00DD7B98" w14:paraId="3296D299" w14:textId="77777777" w:rsidTr="00A1703E">
        <w:trPr>
          <w:trHeight w:val="567"/>
        </w:trPr>
        <w:tc>
          <w:tcPr>
            <w:tcW w:w="2810" w:type="dxa"/>
            <w:vMerge/>
            <w:tcBorders>
              <w:left w:val="single" w:sz="4" w:space="0" w:color="auto"/>
              <w:bottom w:val="single" w:sz="4" w:space="0" w:color="auto"/>
              <w:right w:val="single" w:sz="4" w:space="0" w:color="auto"/>
            </w:tcBorders>
            <w:shd w:val="clear" w:color="auto" w:fill="F3F3F3"/>
          </w:tcPr>
          <w:p w14:paraId="16D55170"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733526C3" w14:textId="056589C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Dostęp do drogi publicznej</w:t>
            </w:r>
          </w:p>
        </w:tc>
        <w:tc>
          <w:tcPr>
            <w:tcW w:w="3419" w:type="dxa"/>
            <w:tcBorders>
              <w:top w:val="single" w:sz="4" w:space="0" w:color="auto"/>
              <w:left w:val="single" w:sz="4" w:space="0" w:color="auto"/>
              <w:bottom w:val="single" w:sz="4" w:space="0" w:color="auto"/>
              <w:right w:val="single" w:sz="4" w:space="0" w:color="auto"/>
            </w:tcBorders>
          </w:tcPr>
          <w:p w14:paraId="10A20497" w14:textId="79D2A952" w:rsidR="00912F6A" w:rsidRPr="00DD7B98" w:rsidRDefault="0021024D" w:rsidP="008061A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 pośrednictwem Drogi</w:t>
            </w:r>
            <w:r w:rsidR="00AE19B3">
              <w:rPr>
                <w:rFonts w:ascii="Times New Roman" w:eastAsia="Times New Roman" w:hAnsi="Times New Roman" w:cs="Times New Roman"/>
                <w:sz w:val="20"/>
                <w:szCs w:val="20"/>
              </w:rPr>
              <w:t>.</w:t>
            </w:r>
          </w:p>
        </w:tc>
      </w:tr>
      <w:tr w:rsidR="00912F6A" w:rsidRPr="00DD7B98" w14:paraId="58BAFBA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5636D4B9" w14:textId="150FDC3C" w:rsidR="00912F6A" w:rsidRPr="005D648F" w:rsidRDefault="00912F6A" w:rsidP="0069541E">
            <w:pPr>
              <w:spacing w:beforeLines="60" w:before="144" w:afterLines="60" w:after="144" w:line="240" w:lineRule="auto"/>
              <w:rPr>
                <w:rFonts w:ascii="Times New Roman" w:eastAsia="Times New Roman" w:hAnsi="Times New Roman" w:cs="Times New Roman"/>
                <w:sz w:val="20"/>
                <w:szCs w:val="20"/>
              </w:rPr>
            </w:pPr>
            <w:r w:rsidRPr="005D648F">
              <w:rPr>
                <w:rFonts w:ascii="Times New Roman" w:eastAsia="Times New Roman" w:hAnsi="Times New Roman" w:cs="Times New Roman"/>
                <w:sz w:val="20"/>
                <w:szCs w:val="20"/>
              </w:rPr>
              <w:t>Określenie usytuowania lokalu mieszkalnego w budynku, jeżeli przedsięwzięcie deweloperskie lub zadanie inwestycyjne dotyczy lokali mieszkalnych</w:t>
            </w:r>
          </w:p>
        </w:tc>
        <w:tc>
          <w:tcPr>
            <w:tcW w:w="6838" w:type="dxa"/>
            <w:gridSpan w:val="2"/>
            <w:tcBorders>
              <w:top w:val="single" w:sz="4" w:space="0" w:color="auto"/>
              <w:left w:val="single" w:sz="4" w:space="0" w:color="auto"/>
              <w:bottom w:val="single" w:sz="4" w:space="0" w:color="auto"/>
              <w:right w:val="single" w:sz="4" w:space="0" w:color="auto"/>
            </w:tcBorders>
          </w:tcPr>
          <w:p w14:paraId="108BA80F" w14:textId="5557543B" w:rsidR="00912F6A" w:rsidRPr="005D648F" w:rsidRDefault="00496E5F" w:rsidP="00A1703E">
            <w:pPr>
              <w:spacing w:beforeLines="60" w:before="144" w:afterLines="60" w:after="144" w:line="240" w:lineRule="auto"/>
              <w:jc w:val="both"/>
              <w:rPr>
                <w:rFonts w:ascii="Times New Roman" w:eastAsia="Times New Roman" w:hAnsi="Times New Roman" w:cs="Times New Roman"/>
                <w:sz w:val="20"/>
                <w:szCs w:val="20"/>
              </w:rPr>
            </w:pPr>
            <w:r w:rsidRPr="005D648F">
              <w:rPr>
                <w:rFonts w:ascii="Times New Roman" w:eastAsia="Times New Roman" w:hAnsi="Times New Roman" w:cs="Times New Roman"/>
                <w:bCs/>
                <w:sz w:val="20"/>
                <w:szCs w:val="20"/>
                <w:lang w:eastAsia="pl-PL"/>
              </w:rPr>
              <w:t>Załącznik nr 1 Rzuty kondygnacji z zaznaczeniem lokalu mieszkalnego.</w:t>
            </w:r>
          </w:p>
        </w:tc>
      </w:tr>
      <w:tr w:rsidR="00912F6A" w:rsidRPr="00DD7B98" w14:paraId="342F6C4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855E67B" w14:textId="73CD817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powierzchni użytkowej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układu pomieszczeń oraz zakresu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 xml:space="preserve">i </w:t>
            </w:r>
            <w:r w:rsidRPr="00912F6A">
              <w:rPr>
                <w:rFonts w:ascii="Times New Roman" w:eastAsia="Times New Roman" w:hAnsi="Times New Roman" w:cs="Times New Roman"/>
                <w:sz w:val="20"/>
                <w:szCs w:val="20"/>
              </w:rPr>
              <w:lastRenderedPageBreak/>
              <w:t>standardu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 których wykonania zobowiązuje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deweloper</w:t>
            </w:r>
          </w:p>
        </w:tc>
        <w:tc>
          <w:tcPr>
            <w:tcW w:w="6838" w:type="dxa"/>
            <w:gridSpan w:val="2"/>
            <w:tcBorders>
              <w:top w:val="single" w:sz="4" w:space="0" w:color="auto"/>
              <w:left w:val="single" w:sz="4" w:space="0" w:color="auto"/>
              <w:bottom w:val="single" w:sz="4" w:space="0" w:color="auto"/>
              <w:right w:val="single" w:sz="4" w:space="0" w:color="auto"/>
            </w:tcBorders>
          </w:tcPr>
          <w:p w14:paraId="0C773137" w14:textId="77777777" w:rsidR="00496E5F" w:rsidRDefault="00496E5F" w:rsidP="00282D6F">
            <w:pPr>
              <w:pStyle w:val="Standard"/>
              <w:spacing w:before="144" w:after="144"/>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lastRenderedPageBreak/>
              <w:t>Załącznik nr 1 Rzuty kondygnacji z zaznaczeniem lokalu mieszkalnego.</w:t>
            </w:r>
          </w:p>
          <w:p w14:paraId="3277ACDD" w14:textId="2128B5DB" w:rsidR="00912F6A" w:rsidRPr="00DD7B98" w:rsidRDefault="00496E5F" w:rsidP="00282D6F">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lastRenderedPageBreak/>
              <w:t xml:space="preserve">Załącznik nr 4 – </w:t>
            </w:r>
            <w:r w:rsidR="003754A7" w:rsidRPr="003754A7">
              <w:rPr>
                <w:rFonts w:ascii="Times New Roman" w:eastAsia="Times New Roman" w:hAnsi="Times New Roman" w:cs="Times New Roman"/>
                <w:bCs/>
                <w:sz w:val="20"/>
                <w:szCs w:val="20"/>
                <w:lang w:eastAsia="pl-PL"/>
              </w:rPr>
              <w:t>Technologia wykonania oraz standard prac wykończeniowych lokalu oraz części wspólnej budynku i terenie wokół niego, stanowiącym część wspólną nieruchomości.</w:t>
            </w:r>
          </w:p>
        </w:tc>
      </w:tr>
      <w:tr w:rsidR="00912F6A" w:rsidRPr="00DD7B98" w14:paraId="49E69AEF"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A58EEE1" w14:textId="3251916E"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lastRenderedPageBreak/>
              <w:t>Data wydania zaświadczenia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samodzielności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w:t>
            </w:r>
          </w:p>
        </w:tc>
        <w:tc>
          <w:tcPr>
            <w:tcW w:w="6838" w:type="dxa"/>
            <w:gridSpan w:val="2"/>
            <w:tcBorders>
              <w:top w:val="single" w:sz="4" w:space="0" w:color="auto"/>
              <w:left w:val="single" w:sz="4" w:space="0" w:color="auto"/>
              <w:bottom w:val="single" w:sz="4" w:space="0" w:color="auto"/>
              <w:right w:val="single" w:sz="4" w:space="0" w:color="auto"/>
            </w:tcBorders>
          </w:tcPr>
          <w:p w14:paraId="60D0EB7A" w14:textId="5777A1FE"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2BEC8F27"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ED2A714" w14:textId="39A2760F"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ustanowienia odrębnej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mieszkalnego</w:t>
            </w:r>
          </w:p>
        </w:tc>
        <w:tc>
          <w:tcPr>
            <w:tcW w:w="6838" w:type="dxa"/>
            <w:gridSpan w:val="2"/>
            <w:tcBorders>
              <w:top w:val="single" w:sz="4" w:space="0" w:color="auto"/>
              <w:left w:val="single" w:sz="4" w:space="0" w:color="auto"/>
              <w:bottom w:val="single" w:sz="4" w:space="0" w:color="auto"/>
              <w:right w:val="single" w:sz="4" w:space="0" w:color="auto"/>
            </w:tcBorders>
          </w:tcPr>
          <w:p w14:paraId="62608574" w14:textId="1F2B8EB9"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56762A6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D3CA71B" w14:textId="7574D02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Informacje o lokalu użytkowym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nabywanym równocześnie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z lokalem mieszkalnym albo domem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jednorodzinnym</w:t>
            </w:r>
          </w:p>
        </w:tc>
        <w:tc>
          <w:tcPr>
            <w:tcW w:w="6838" w:type="dxa"/>
            <w:gridSpan w:val="2"/>
            <w:tcBorders>
              <w:top w:val="single" w:sz="4" w:space="0" w:color="auto"/>
              <w:left w:val="single" w:sz="4" w:space="0" w:color="auto"/>
              <w:bottom w:val="single" w:sz="4" w:space="0" w:color="auto"/>
              <w:right w:val="single" w:sz="4" w:space="0" w:color="auto"/>
            </w:tcBorders>
          </w:tcPr>
          <w:p w14:paraId="0AE38BC8" w14:textId="0CD21234"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C39813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0E44CA52" w14:textId="6C2D1B40"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w:t>
            </w:r>
            <w:r w:rsidR="00A909E7">
              <w:rPr>
                <w:rFonts w:ascii="Times New Roman" w:eastAsia="Times New Roman" w:hAnsi="Times New Roman" w:cs="Times New Roman"/>
                <w:sz w:val="20"/>
                <w:szCs w:val="20"/>
              </w:rPr>
              <w:t>a</w:t>
            </w:r>
            <w:r w:rsidRPr="00912F6A">
              <w:rPr>
                <w:rFonts w:ascii="Times New Roman" w:eastAsia="Times New Roman" w:hAnsi="Times New Roman" w:cs="Times New Roman"/>
                <w:sz w:val="20"/>
                <w:szCs w:val="20"/>
              </w:rPr>
              <w:t xml:space="preserve"> lokalu użytkowego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ułamkowej części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w:t>
            </w:r>
          </w:p>
        </w:tc>
        <w:tc>
          <w:tcPr>
            <w:tcW w:w="6838" w:type="dxa"/>
            <w:gridSpan w:val="2"/>
            <w:tcBorders>
              <w:top w:val="single" w:sz="4" w:space="0" w:color="auto"/>
              <w:left w:val="single" w:sz="4" w:space="0" w:color="auto"/>
              <w:bottom w:val="single" w:sz="4" w:space="0" w:color="auto"/>
              <w:right w:val="single" w:sz="4" w:space="0" w:color="auto"/>
            </w:tcBorders>
          </w:tcPr>
          <w:p w14:paraId="001261AB" w14:textId="6DCC2026"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44E857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51FC9C5" w14:textId="2589AE4C"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 przeniesienie prawa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 albo ułamkowej części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użytkowego</w:t>
            </w:r>
          </w:p>
        </w:tc>
        <w:tc>
          <w:tcPr>
            <w:tcW w:w="6838" w:type="dxa"/>
            <w:gridSpan w:val="2"/>
            <w:tcBorders>
              <w:top w:val="single" w:sz="4" w:space="0" w:color="auto"/>
              <w:left w:val="single" w:sz="4" w:space="0" w:color="auto"/>
              <w:bottom w:val="single" w:sz="4" w:space="0" w:color="auto"/>
              <w:right w:val="single" w:sz="4" w:space="0" w:color="auto"/>
            </w:tcBorders>
          </w:tcPr>
          <w:p w14:paraId="4F8C4C0E" w14:textId="6903346B" w:rsidR="00912F6A" w:rsidRPr="00DD7B98" w:rsidRDefault="00496E5F" w:rsidP="00A1703E">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bl>
    <w:p w14:paraId="013923E9"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4C3AF251"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Podpis dewelopera albo osoby upoważnionej do reprezentacji dewelopera</w:t>
      </w:r>
    </w:p>
    <w:p w14:paraId="16D47008"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0D64F1AE" w14:textId="66F55C7C"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w:t>
      </w:r>
    </w:p>
    <w:p w14:paraId="4295790E" w14:textId="488FCD96" w:rsidR="00F7371C" w:rsidRDefault="008C1CDB" w:rsidP="00F7371C">
      <w:pPr>
        <w:spacing w:beforeLines="50" w:before="120" w:afterLines="50"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eastAsia="pl-PL"/>
        </w:rPr>
        <mc:AlternateContent>
          <mc:Choice Requires="wps">
            <w:drawing>
              <wp:anchor distT="0" distB="0" distL="114300" distR="114300" simplePos="0" relativeHeight="251659264" behindDoc="0" locked="0" layoutInCell="1" allowOverlap="1" wp14:anchorId="4FCECE4E" wp14:editId="3D86BF56">
                <wp:simplePos x="0" y="0"/>
                <wp:positionH relativeFrom="column">
                  <wp:posOffset>-635</wp:posOffset>
                </wp:positionH>
                <wp:positionV relativeFrom="paragraph">
                  <wp:posOffset>60325</wp:posOffset>
                </wp:positionV>
                <wp:extent cx="5974080" cy="7620"/>
                <wp:effectExtent l="19050" t="19050" r="26670" b="30480"/>
                <wp:wrapNone/>
                <wp:docPr id="1" name="Łącznik prosty 1"/>
                <wp:cNvGraphicFramePr/>
                <a:graphic xmlns:a="http://schemas.openxmlformats.org/drawingml/2006/main">
                  <a:graphicData uri="http://schemas.microsoft.com/office/word/2010/wordprocessingShape">
                    <wps:wsp>
                      <wps:cNvCnPr/>
                      <wps:spPr>
                        <a:xfrm flipV="1">
                          <a:off x="0" y="0"/>
                          <a:ext cx="5974080" cy="76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4EBB1"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4.75pt" to="470.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" strokecolor="black [3200]" strokeweight="2.25pt">
                <v:stroke joinstyle="miter"/>
              </v:line>
            </w:pict>
          </mc:Fallback>
        </mc:AlternateContent>
      </w:r>
    </w:p>
    <w:p w14:paraId="6461A642" w14:textId="77777777" w:rsidR="00496E5F" w:rsidRDefault="00496E5F" w:rsidP="00496E5F">
      <w:pPr>
        <w:pStyle w:val="Standard"/>
        <w:spacing w:before="144" w:after="144"/>
        <w:jc w:val="both"/>
      </w:pPr>
      <w:r>
        <w:rPr>
          <w:rFonts w:ascii="Times New Roman" w:eastAsia="Times New Roman" w:hAnsi="Times New Roman" w:cs="Times New Roman"/>
          <w:b/>
          <w:sz w:val="20"/>
          <w:szCs w:val="20"/>
        </w:rPr>
        <w:t>Załączniki:</w:t>
      </w:r>
    </w:p>
    <w:p w14:paraId="11342FB6" w14:textId="77777777" w:rsidR="00496E5F" w:rsidRDefault="00496E5F" w:rsidP="00496E5F">
      <w:pPr>
        <w:pStyle w:val="Standard"/>
        <w:spacing w:before="144" w:after="144"/>
        <w:jc w:val="both"/>
      </w:pPr>
      <w:bookmarkStart w:id="11" w:name="_Hlk146626009"/>
      <w:r>
        <w:rPr>
          <w:rFonts w:ascii="Times New Roman" w:eastAsia="Times New Roman" w:hAnsi="Times New Roman" w:cs="Times New Roman"/>
          <w:sz w:val="20"/>
          <w:szCs w:val="20"/>
        </w:rPr>
        <w:t xml:space="preserve">1. </w:t>
      </w:r>
      <w:bookmarkStart w:id="12" w:name="_Hlk136421370"/>
      <w:r>
        <w:rPr>
          <w:rFonts w:ascii="Times New Roman" w:eastAsia="Times New Roman" w:hAnsi="Times New Roman" w:cs="Times New Roman"/>
          <w:bCs/>
          <w:sz w:val="20"/>
          <w:szCs w:val="20"/>
          <w:lang w:eastAsia="pl-PL"/>
        </w:rPr>
        <w:t>Rzuty kondygnacji z zaznaczeniem lokalu mieszkalnego</w:t>
      </w:r>
      <w:bookmarkEnd w:id="12"/>
      <w:r>
        <w:rPr>
          <w:rFonts w:ascii="Times New Roman" w:eastAsia="Times New Roman" w:hAnsi="Times New Roman" w:cs="Times New Roman"/>
          <w:bCs/>
          <w:sz w:val="20"/>
          <w:szCs w:val="20"/>
          <w:lang w:eastAsia="pl-PL"/>
        </w:rPr>
        <w:t>.</w:t>
      </w:r>
    </w:p>
    <w:p w14:paraId="1A171BA8" w14:textId="77777777" w:rsidR="00496E5F" w:rsidRDefault="00496E5F" w:rsidP="00496E5F">
      <w:pPr>
        <w:pStyle w:val="Standard"/>
        <w:spacing w:before="144" w:after="144"/>
        <w:jc w:val="both"/>
      </w:pPr>
      <w:r>
        <w:rPr>
          <w:rFonts w:ascii="Times New Roman" w:eastAsia="Times New Roman" w:hAnsi="Times New Roman" w:cs="Times New Roman"/>
          <w:sz w:val="20"/>
          <w:szCs w:val="20"/>
        </w:rPr>
        <w:t>2. Wzór umowy deweloperskiej.</w:t>
      </w:r>
    </w:p>
    <w:p w14:paraId="038CBAE6" w14:textId="685C91E6" w:rsidR="00496E5F" w:rsidRDefault="00496E5F" w:rsidP="00496E5F">
      <w:pPr>
        <w:pStyle w:val="Standard"/>
        <w:spacing w:before="144" w:after="144"/>
        <w:jc w:val="both"/>
      </w:pPr>
      <w:r>
        <w:rPr>
          <w:rFonts w:ascii="Times New Roman" w:eastAsia="Times New Roman" w:hAnsi="Times New Roman" w:cs="Times New Roman"/>
          <w:sz w:val="20"/>
          <w:szCs w:val="20"/>
        </w:rPr>
        <w:t xml:space="preserve">3. </w:t>
      </w:r>
      <w:bookmarkStart w:id="13" w:name="_Hlk168663236"/>
      <w:r>
        <w:rPr>
          <w:rFonts w:ascii="Times New Roman" w:eastAsia="Times New Roman" w:hAnsi="Times New Roman" w:cs="Times New Roman"/>
          <w:sz w:val="20"/>
          <w:szCs w:val="20"/>
        </w:rPr>
        <w:t>Szkic koncepcji zagospodarowania terenu inwestycji i jego otoczenia z zaznaczeniem budynk</w:t>
      </w:r>
      <w:r w:rsidR="00A77E1B">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w:t>
      </w:r>
      <w:bookmarkStart w:id="14" w:name="_Hlk168663226"/>
      <w:r>
        <w:rPr>
          <w:rFonts w:ascii="Times New Roman" w:eastAsia="Times New Roman" w:hAnsi="Times New Roman" w:cs="Times New Roman"/>
          <w:sz w:val="20"/>
          <w:szCs w:val="20"/>
        </w:rPr>
        <w:t>arunkowań lokalizacji inwestycji wynikających z istniejącego stanu użytkowania terenów sąsiednich (np. z funkcji terenu, stref ochronnych, uciążliwości).</w:t>
      </w:r>
      <w:bookmarkEnd w:id="14"/>
      <w:bookmarkEnd w:id="13"/>
    </w:p>
    <w:p w14:paraId="1F9CC9BE" w14:textId="477FB46A" w:rsidR="00D950BE" w:rsidRPr="00922F16" w:rsidRDefault="00496E5F" w:rsidP="00496E5F">
      <w:pPr>
        <w:pStyle w:val="Standard"/>
        <w:jc w:val="both"/>
        <w:rPr>
          <w:rFonts w:ascii="Times New Roman" w:eastAsia="Times New Roman" w:hAnsi="Times New Roman" w:cs="Times New Roman"/>
          <w:bCs/>
          <w:sz w:val="20"/>
          <w:szCs w:val="20"/>
          <w:lang w:eastAsia="pl-PL"/>
        </w:rPr>
      </w:pPr>
      <w:r>
        <w:rPr>
          <w:rFonts w:ascii="Times New Roman" w:hAnsi="Times New Roman" w:cs="Times New Roman"/>
          <w:sz w:val="20"/>
          <w:szCs w:val="20"/>
        </w:rPr>
        <w:t xml:space="preserve">4. </w:t>
      </w:r>
      <w:r>
        <w:rPr>
          <w:rFonts w:ascii="Times New Roman" w:eastAsia="Times New Roman" w:hAnsi="Times New Roman" w:cs="Times New Roman"/>
          <w:bCs/>
          <w:sz w:val="20"/>
          <w:szCs w:val="20"/>
          <w:lang w:eastAsia="pl-PL"/>
        </w:rPr>
        <w:t>Technologia wykonania oraz standard prac wykończeniowych lokalu oraz części wspólnej budynk</w:t>
      </w:r>
      <w:r w:rsidR="003754A7">
        <w:rPr>
          <w:rFonts w:ascii="Times New Roman" w:eastAsia="Times New Roman" w:hAnsi="Times New Roman" w:cs="Times New Roman"/>
          <w:bCs/>
          <w:sz w:val="20"/>
          <w:szCs w:val="20"/>
          <w:lang w:eastAsia="pl-PL"/>
        </w:rPr>
        <w:t>u</w:t>
      </w:r>
      <w:r>
        <w:rPr>
          <w:rFonts w:ascii="Times New Roman" w:eastAsia="Times New Roman" w:hAnsi="Times New Roman" w:cs="Times New Roman"/>
          <w:bCs/>
          <w:sz w:val="20"/>
          <w:szCs w:val="20"/>
          <w:lang w:eastAsia="pl-PL"/>
        </w:rPr>
        <w:t xml:space="preserve"> i terenie wokół niego, stanowiącym część wspólną nieruchomości</w:t>
      </w:r>
      <w:bookmarkEnd w:id="11"/>
      <w:r>
        <w:rPr>
          <w:rFonts w:ascii="Times New Roman" w:eastAsia="Times New Roman" w:hAnsi="Times New Roman" w:cs="Times New Roman"/>
          <w:bCs/>
          <w:sz w:val="20"/>
          <w:szCs w:val="20"/>
          <w:lang w:eastAsia="pl-PL"/>
        </w:rPr>
        <w:t>.</w:t>
      </w:r>
      <w:r w:rsidR="00AE21F9">
        <w:rPr>
          <w:noProof/>
          <w:lang w:eastAsia="pl-PL"/>
        </w:rPr>
        <mc:AlternateContent>
          <mc:Choice Requires="wps">
            <w:drawing>
              <wp:anchor distT="0" distB="0" distL="114300" distR="114300" simplePos="0" relativeHeight="251661312" behindDoc="0" locked="0" layoutInCell="1" allowOverlap="1" wp14:anchorId="72AA3352" wp14:editId="6CEF5C7C">
                <wp:simplePos x="0" y="0"/>
                <wp:positionH relativeFrom="margin">
                  <wp:align>center</wp:align>
                </wp:positionH>
                <wp:positionV relativeFrom="paragraph">
                  <wp:posOffset>368021</wp:posOffset>
                </wp:positionV>
                <wp:extent cx="7543800" cy="0"/>
                <wp:effectExtent l="0" t="0" r="0" b="0"/>
                <wp:wrapNone/>
                <wp:docPr id="542350643" name="Line 19"/>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28437" cap="flat">
                          <a:solidFill>
                            <a:srgbClr val="000000"/>
                          </a:solidFill>
                          <a:prstDash val="solid"/>
                          <a:round/>
                        </a:ln>
                      </wps:spPr>
                      <wps:bodyPr/>
                    </wps:wsp>
                  </a:graphicData>
                </a:graphic>
              </wp:anchor>
            </w:drawing>
          </mc:Choice>
          <mc:Fallback>
            <w:pict>
              <v:shapetype w14:anchorId="5C83A3E4" id="_x0000_t32" coordsize="21600,21600" o:spt="32" o:oned="t" path="m,l21600,21600e" filled="f">
                <v:path arrowok="t" fillok="f" o:connecttype="none"/>
                <o:lock v:ext="edit" shapetype="t"/>
              </v:shapetype>
              <v:shape id="Line 19" o:spid="_x0000_s1026" type="#_x0000_t32" style="position:absolute;margin-left:0;margin-top:29pt;width:594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" strokeweight=".78992mm">
                <w10:wrap anchorx="margin"/>
              </v:shape>
            </w:pict>
          </mc:Fallback>
        </mc:AlternateContent>
      </w:r>
    </w:p>
    <w:sectPr w:rsidR="00D950BE" w:rsidRPr="00922F16" w:rsidSect="00CC5FC4">
      <w:footerReference w:type="default" r:id="rId19"/>
      <w:footerReference w:type="first" r:id="rId20"/>
      <w:footnotePr>
        <w:numStart w:val="5"/>
      </w:footnotePr>
      <w:endnotePr>
        <w:numFmt w:val="decimal"/>
        <w:numStart w:val="4"/>
      </w:endnotePr>
      <w:type w:val="continuous"/>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8CBD" w14:textId="77777777" w:rsidR="002C2C3F" w:rsidRDefault="002C2C3F" w:rsidP="00EA1C22">
      <w:pPr>
        <w:spacing w:after="0" w:line="240" w:lineRule="auto"/>
      </w:pPr>
      <w:r>
        <w:separator/>
      </w:r>
    </w:p>
  </w:endnote>
  <w:endnote w:type="continuationSeparator" w:id="0">
    <w:p w14:paraId="2626F5A0" w14:textId="77777777" w:rsidR="002C2C3F" w:rsidRDefault="002C2C3F"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294E1123" w14:textId="07858E0A" w:rsidR="009362C7" w:rsidRPr="007E3E4D" w:rsidRDefault="009362C7"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245E0F">
          <w:rPr>
            <w:rFonts w:ascii="Times New Roman" w:hAnsi="Times New Roman" w:cs="Times New Roman"/>
            <w:noProof/>
            <w:sz w:val="24"/>
          </w:rPr>
          <w:t>15</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6CD" w14:textId="77777777" w:rsidR="009362C7" w:rsidRDefault="009362C7">
    <w:pPr>
      <w:pStyle w:val="Stopka"/>
      <w:jc w:val="center"/>
    </w:pPr>
  </w:p>
  <w:p w14:paraId="113CDFFA" w14:textId="77777777" w:rsidR="009362C7" w:rsidRDefault="00936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8E9A" w14:textId="77777777" w:rsidR="002C2C3F" w:rsidRDefault="002C2C3F" w:rsidP="00EA1C22">
      <w:pPr>
        <w:spacing w:after="0" w:line="240" w:lineRule="auto"/>
      </w:pPr>
      <w:r>
        <w:separator/>
      </w:r>
    </w:p>
  </w:footnote>
  <w:footnote w:type="continuationSeparator" w:id="0">
    <w:p w14:paraId="368A4C8D" w14:textId="77777777" w:rsidR="002C2C3F" w:rsidRDefault="002C2C3F" w:rsidP="00EA1C22">
      <w:pPr>
        <w:spacing w:after="0" w:line="240" w:lineRule="auto"/>
      </w:pPr>
      <w:r>
        <w:continuationSeparator/>
      </w:r>
    </w:p>
  </w:footnote>
  <w:footnote w:id="1">
    <w:p w14:paraId="5259478A" w14:textId="77777777" w:rsidR="009362C7" w:rsidRPr="009017DC" w:rsidRDefault="009362C7" w:rsidP="00A177CE">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461A6421" w14:textId="77777777" w:rsidR="009362C7" w:rsidRPr="00143535" w:rsidRDefault="009362C7"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7D802E83" w14:textId="77777777" w:rsidR="009362C7" w:rsidRPr="00143535" w:rsidRDefault="009362C7"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9854057" w14:textId="77777777" w:rsidR="009362C7" w:rsidRPr="00143535" w:rsidRDefault="009362C7" w:rsidP="00A177CE">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4802210C" w14:textId="43C1E008"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2B5B53">
        <w:rPr>
          <w:rFonts w:cs="Times New Roman"/>
          <w:sz w:val="18"/>
          <w:szCs w:val="18"/>
        </w:rPr>
        <w:t>dotyczących Inwestycji, Inwestycji Towarzyszących oraz obszaru otoczenia CPK</w:t>
      </w:r>
      <w:r w:rsidRPr="00143535">
        <w:rPr>
          <w:rFonts w:cs="Times New Roman"/>
          <w:sz w:val="18"/>
          <w:szCs w:val="18"/>
        </w:rPr>
        <w:t>,</w:t>
      </w:r>
    </w:p>
    <w:p w14:paraId="14BAA23A"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56EE4EE1"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F54F657"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97B30F6"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1612208A"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077196F" w14:textId="77777777" w:rsidR="009362C7" w:rsidRPr="00143535" w:rsidRDefault="009362C7"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417A639" w14:textId="77777777" w:rsidR="009362C7" w:rsidRPr="00143535" w:rsidRDefault="009362C7"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1A508597" w14:textId="77777777" w:rsidR="009362C7" w:rsidRPr="00A80C58" w:rsidRDefault="009362C7"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1E21C421" w14:textId="77777777" w:rsidR="009362C7" w:rsidRPr="00137E9F" w:rsidRDefault="009362C7" w:rsidP="0050435A">
      <w:pPr>
        <w:pStyle w:val="ODNONIKtreodnonika"/>
      </w:pPr>
      <w:r>
        <w:rPr>
          <w:rStyle w:val="Odwoanieprzypisudolnego"/>
        </w:rPr>
        <w:footnoteRef/>
      </w:r>
      <w:r>
        <w:rPr>
          <w:rStyle w:val="IGindeksgrny"/>
        </w:rPr>
        <w:t>)</w:t>
      </w:r>
      <w:r>
        <w:tab/>
      </w:r>
      <w:r w:rsidRPr="000B4E23">
        <w:rPr>
          <w:sz w:val="18"/>
          <w:szCs w:val="18"/>
        </w:rPr>
        <w:t>W przypadku braku miejscowego planu zagospodarowania przestrzennego umieszcza się informację „Brak planu”.</w:t>
      </w:r>
    </w:p>
  </w:footnote>
  <w:footnote w:id="6">
    <w:p w14:paraId="106DEA67" w14:textId="77777777" w:rsidR="009362C7" w:rsidRPr="00137E9F" w:rsidRDefault="009362C7" w:rsidP="009327A6">
      <w:pPr>
        <w:pStyle w:val="ODNONIKtreodnonika"/>
      </w:pPr>
      <w:r>
        <w:rPr>
          <w:rStyle w:val="Odwoanieprzypisudolnego"/>
        </w:rPr>
        <w:footnoteRef/>
      </w:r>
      <w:r>
        <w:rPr>
          <w:rStyle w:val="IGindeksgrny"/>
        </w:rPr>
        <w:t>)</w:t>
      </w:r>
      <w:r>
        <w:tab/>
      </w:r>
      <w:r>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4293A199" w14:textId="276512AB" w:rsidR="009362C7" w:rsidRDefault="009362C7" w:rsidP="00A1703E">
      <w:pPr>
        <w:pStyle w:val="ODNONIKtreodnonika"/>
        <w:rPr>
          <w:sz w:val="18"/>
          <w:szCs w:val="18"/>
        </w:rPr>
      </w:pPr>
      <w:r>
        <w:rPr>
          <w:rStyle w:val="Odwoanieprzypisudolnego"/>
        </w:rPr>
        <w:footnoteRef/>
      </w:r>
      <w:r>
        <w:rPr>
          <w:rStyle w:val="IGindeksgrny"/>
        </w:rPr>
        <w:t>)</w:t>
      </w:r>
      <w:r>
        <w:tab/>
      </w:r>
      <w:r>
        <w:rPr>
          <w:sz w:val="18"/>
          <w:szCs w:val="18"/>
        </w:rPr>
        <w:t>Zgodnie z art. 48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4AB40C0" w14:textId="77777777" w:rsidR="009362C7" w:rsidRDefault="009362C7" w:rsidP="00A1703E">
      <w:pPr>
        <w:pStyle w:val="ODNONIKtreodnonika"/>
        <w:rPr>
          <w:sz w:val="18"/>
          <w:szCs w:val="18"/>
        </w:rPr>
      </w:pPr>
    </w:p>
    <w:p w14:paraId="28DFDB3F" w14:textId="77777777" w:rsidR="009362C7" w:rsidRPr="00137E9F" w:rsidRDefault="009362C7" w:rsidP="00A1703E">
      <w:pPr>
        <w:pStyle w:val="ODNONIKtreodnonika"/>
      </w:pPr>
      <w:r w:rsidRPr="009559BD">
        <w:rPr>
          <w:rStyle w:val="Odwoanieprzypisudolnego"/>
          <w:sz w:val="18"/>
          <w:szCs w:val="18"/>
        </w:rPr>
        <w:t>*</w:t>
      </w:r>
      <w:r>
        <w:rPr>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A55"/>
    <w:multiLevelType w:val="hybridMultilevel"/>
    <w:tmpl w:val="E646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7519D"/>
    <w:multiLevelType w:val="multilevel"/>
    <w:tmpl w:val="778A4570"/>
    <w:styleLink w:val="WWNum1"/>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5BC6486"/>
    <w:multiLevelType w:val="hybridMultilevel"/>
    <w:tmpl w:val="9DA2D732"/>
    <w:lvl w:ilvl="0" w:tplc="85348396">
      <w:start w:val="1"/>
      <w:numFmt w:val="upperRoman"/>
      <w:lvlText w:val="%1."/>
      <w:lvlJc w:val="left"/>
      <w:pPr>
        <w:ind w:left="1797" w:hanging="720"/>
      </w:pPr>
      <w:rPr>
        <w:rFonts w:ascii="Times New Roman" w:eastAsia="Times New Roman" w:hAnsi="Times New Roman" w:cs="Times New Roman" w:hint="default"/>
        <w:b/>
        <w:sz w:val="20"/>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25D931C0"/>
    <w:multiLevelType w:val="hybridMultilevel"/>
    <w:tmpl w:val="7ECAA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A75D3"/>
    <w:multiLevelType w:val="hybridMultilevel"/>
    <w:tmpl w:val="E692309C"/>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F7D0726"/>
    <w:multiLevelType w:val="hybridMultilevel"/>
    <w:tmpl w:val="B45CD316"/>
    <w:lvl w:ilvl="0" w:tplc="588C5A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F5DC5"/>
    <w:multiLevelType w:val="hybridMultilevel"/>
    <w:tmpl w:val="49D283D2"/>
    <w:lvl w:ilvl="0" w:tplc="04150017">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7CFB0839"/>
    <w:multiLevelType w:val="hybridMultilevel"/>
    <w:tmpl w:val="4F96AC0C"/>
    <w:lvl w:ilvl="0" w:tplc="75BAFD5C">
      <w:start w:val="1"/>
      <w:numFmt w:val="decimal"/>
      <w:lvlText w:val="%1)"/>
      <w:lvlJc w:val="left"/>
      <w:pPr>
        <w:ind w:left="765" w:hanging="405"/>
      </w:pPr>
      <w:rPr>
        <w:rFonts w:hint="default"/>
      </w:rPr>
    </w:lvl>
    <w:lvl w:ilvl="1" w:tplc="D2F69D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4651810">
    <w:abstractNumId w:val="8"/>
  </w:num>
  <w:num w:numId="2" w16cid:durableId="1710834268">
    <w:abstractNumId w:val="7"/>
  </w:num>
  <w:num w:numId="3" w16cid:durableId="371619268">
    <w:abstractNumId w:val="11"/>
  </w:num>
  <w:num w:numId="4" w16cid:durableId="1928536030">
    <w:abstractNumId w:val="1"/>
  </w:num>
  <w:num w:numId="5" w16cid:durableId="1696224419">
    <w:abstractNumId w:val="6"/>
  </w:num>
  <w:num w:numId="6" w16cid:durableId="230889526">
    <w:abstractNumId w:val="10"/>
  </w:num>
  <w:num w:numId="7" w16cid:durableId="497813692">
    <w:abstractNumId w:val="5"/>
  </w:num>
  <w:num w:numId="8" w16cid:durableId="1639994451">
    <w:abstractNumId w:val="0"/>
  </w:num>
  <w:num w:numId="9" w16cid:durableId="626393150">
    <w:abstractNumId w:val="9"/>
  </w:num>
  <w:num w:numId="10" w16cid:durableId="2097246736">
    <w:abstractNumId w:val="4"/>
  </w:num>
  <w:num w:numId="11" w16cid:durableId="412242787">
    <w:abstractNumId w:val="2"/>
  </w:num>
  <w:num w:numId="12" w16cid:durableId="1292249052">
    <w:abstractNumId w:val="2"/>
    <w:lvlOverride w:ilvl="0">
      <w:startOverride w:val="1"/>
    </w:lvlOverride>
  </w:num>
  <w:num w:numId="13" w16cid:durableId="316954624">
    <w:abstractNumId w:val="0"/>
    <w:lvlOverride w:ilvl="0">
      <w:startOverride w:val="1"/>
    </w:lvlOverride>
  </w:num>
  <w:num w:numId="14" w16cid:durableId="1665737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Start w:val="5"/>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22"/>
    <w:rsid w:val="000028AE"/>
    <w:rsid w:val="00002BAD"/>
    <w:rsid w:val="00004A4B"/>
    <w:rsid w:val="0002018E"/>
    <w:rsid w:val="00033494"/>
    <w:rsid w:val="0004391E"/>
    <w:rsid w:val="00043D7E"/>
    <w:rsid w:val="0004536D"/>
    <w:rsid w:val="00045D5F"/>
    <w:rsid w:val="00047FBC"/>
    <w:rsid w:val="00052BD3"/>
    <w:rsid w:val="00064B7B"/>
    <w:rsid w:val="00075093"/>
    <w:rsid w:val="00075F10"/>
    <w:rsid w:val="00076CD3"/>
    <w:rsid w:val="00080E20"/>
    <w:rsid w:val="00083AEA"/>
    <w:rsid w:val="00084D69"/>
    <w:rsid w:val="00087009"/>
    <w:rsid w:val="00091418"/>
    <w:rsid w:val="000962F7"/>
    <w:rsid w:val="000A208F"/>
    <w:rsid w:val="000C36ED"/>
    <w:rsid w:val="000C5233"/>
    <w:rsid w:val="000C5D74"/>
    <w:rsid w:val="000D204E"/>
    <w:rsid w:val="000F6427"/>
    <w:rsid w:val="00105E6E"/>
    <w:rsid w:val="00110283"/>
    <w:rsid w:val="00120C46"/>
    <w:rsid w:val="00123F42"/>
    <w:rsid w:val="001264C9"/>
    <w:rsid w:val="0012739C"/>
    <w:rsid w:val="001354D4"/>
    <w:rsid w:val="00143535"/>
    <w:rsid w:val="001447F7"/>
    <w:rsid w:val="0015416D"/>
    <w:rsid w:val="00165055"/>
    <w:rsid w:val="00165804"/>
    <w:rsid w:val="00167388"/>
    <w:rsid w:val="0017112E"/>
    <w:rsid w:val="001714E8"/>
    <w:rsid w:val="0017212D"/>
    <w:rsid w:val="00187FD5"/>
    <w:rsid w:val="00191A3A"/>
    <w:rsid w:val="00193405"/>
    <w:rsid w:val="00196889"/>
    <w:rsid w:val="00196C7F"/>
    <w:rsid w:val="001A3521"/>
    <w:rsid w:val="001D1C46"/>
    <w:rsid w:val="001D2E01"/>
    <w:rsid w:val="001E0460"/>
    <w:rsid w:val="001E4C30"/>
    <w:rsid w:val="001F6451"/>
    <w:rsid w:val="0020565B"/>
    <w:rsid w:val="0021024D"/>
    <w:rsid w:val="002131B1"/>
    <w:rsid w:val="00214AD2"/>
    <w:rsid w:val="00217973"/>
    <w:rsid w:val="00223E9B"/>
    <w:rsid w:val="002250A5"/>
    <w:rsid w:val="002414CB"/>
    <w:rsid w:val="00243CC5"/>
    <w:rsid w:val="00245160"/>
    <w:rsid w:val="00245E0F"/>
    <w:rsid w:val="002462E0"/>
    <w:rsid w:val="00254844"/>
    <w:rsid w:val="002607E7"/>
    <w:rsid w:val="00265307"/>
    <w:rsid w:val="00272039"/>
    <w:rsid w:val="00273AB4"/>
    <w:rsid w:val="00274972"/>
    <w:rsid w:val="00282D6F"/>
    <w:rsid w:val="002851BF"/>
    <w:rsid w:val="002B32DD"/>
    <w:rsid w:val="002B5B53"/>
    <w:rsid w:val="002C2C3F"/>
    <w:rsid w:val="002C7852"/>
    <w:rsid w:val="002D088C"/>
    <w:rsid w:val="002E3C0E"/>
    <w:rsid w:val="002F7575"/>
    <w:rsid w:val="00301930"/>
    <w:rsid w:val="00301B62"/>
    <w:rsid w:val="00310C1F"/>
    <w:rsid w:val="003118DF"/>
    <w:rsid w:val="0032068A"/>
    <w:rsid w:val="00325FF2"/>
    <w:rsid w:val="00326012"/>
    <w:rsid w:val="003265D6"/>
    <w:rsid w:val="00337BFB"/>
    <w:rsid w:val="00354FDC"/>
    <w:rsid w:val="003561B7"/>
    <w:rsid w:val="00356B57"/>
    <w:rsid w:val="00371D0F"/>
    <w:rsid w:val="00374212"/>
    <w:rsid w:val="003754A7"/>
    <w:rsid w:val="00375527"/>
    <w:rsid w:val="00385AE3"/>
    <w:rsid w:val="00391147"/>
    <w:rsid w:val="003948D2"/>
    <w:rsid w:val="003A3ABA"/>
    <w:rsid w:val="003B02DB"/>
    <w:rsid w:val="003B4A47"/>
    <w:rsid w:val="003C16E4"/>
    <w:rsid w:val="003C75E4"/>
    <w:rsid w:val="003D0C8D"/>
    <w:rsid w:val="003E1B4A"/>
    <w:rsid w:val="003E7295"/>
    <w:rsid w:val="003F7E75"/>
    <w:rsid w:val="00407983"/>
    <w:rsid w:val="004109E5"/>
    <w:rsid w:val="00413158"/>
    <w:rsid w:val="00415B09"/>
    <w:rsid w:val="00422E85"/>
    <w:rsid w:val="00433049"/>
    <w:rsid w:val="00435656"/>
    <w:rsid w:val="004460C4"/>
    <w:rsid w:val="004608D9"/>
    <w:rsid w:val="00467367"/>
    <w:rsid w:val="004827D1"/>
    <w:rsid w:val="004876F1"/>
    <w:rsid w:val="0049373F"/>
    <w:rsid w:val="00496E5F"/>
    <w:rsid w:val="004B265C"/>
    <w:rsid w:val="004B41AC"/>
    <w:rsid w:val="004C084F"/>
    <w:rsid w:val="004C08A8"/>
    <w:rsid w:val="004E2327"/>
    <w:rsid w:val="004E284F"/>
    <w:rsid w:val="004F42C6"/>
    <w:rsid w:val="00502F5D"/>
    <w:rsid w:val="0050435A"/>
    <w:rsid w:val="00506907"/>
    <w:rsid w:val="0051210E"/>
    <w:rsid w:val="00512D6D"/>
    <w:rsid w:val="00515904"/>
    <w:rsid w:val="0052464D"/>
    <w:rsid w:val="00525787"/>
    <w:rsid w:val="0052725D"/>
    <w:rsid w:val="0053053E"/>
    <w:rsid w:val="00543D11"/>
    <w:rsid w:val="00563CE5"/>
    <w:rsid w:val="005A5C2E"/>
    <w:rsid w:val="005B32D7"/>
    <w:rsid w:val="005C25D9"/>
    <w:rsid w:val="005D4619"/>
    <w:rsid w:val="005D648F"/>
    <w:rsid w:val="005D6FF0"/>
    <w:rsid w:val="005E5C9F"/>
    <w:rsid w:val="005E70BE"/>
    <w:rsid w:val="005F17E8"/>
    <w:rsid w:val="005F63BE"/>
    <w:rsid w:val="00603A81"/>
    <w:rsid w:val="00611072"/>
    <w:rsid w:val="006177CF"/>
    <w:rsid w:val="0062528F"/>
    <w:rsid w:val="00625BBC"/>
    <w:rsid w:val="006331FA"/>
    <w:rsid w:val="0063428B"/>
    <w:rsid w:val="006452A7"/>
    <w:rsid w:val="00645361"/>
    <w:rsid w:val="00650ECD"/>
    <w:rsid w:val="0065711C"/>
    <w:rsid w:val="00660954"/>
    <w:rsid w:val="00660F06"/>
    <w:rsid w:val="00665D09"/>
    <w:rsid w:val="006674CD"/>
    <w:rsid w:val="00672180"/>
    <w:rsid w:val="0068141D"/>
    <w:rsid w:val="0068147F"/>
    <w:rsid w:val="006830FA"/>
    <w:rsid w:val="0069541E"/>
    <w:rsid w:val="006C5700"/>
    <w:rsid w:val="006D3AF1"/>
    <w:rsid w:val="006E1C90"/>
    <w:rsid w:val="00700CF3"/>
    <w:rsid w:val="00706E37"/>
    <w:rsid w:val="007072A5"/>
    <w:rsid w:val="007167B7"/>
    <w:rsid w:val="0074603B"/>
    <w:rsid w:val="007476E6"/>
    <w:rsid w:val="00751880"/>
    <w:rsid w:val="00752BF8"/>
    <w:rsid w:val="007601BE"/>
    <w:rsid w:val="0076265C"/>
    <w:rsid w:val="00764DEA"/>
    <w:rsid w:val="0076678C"/>
    <w:rsid w:val="007771FB"/>
    <w:rsid w:val="007844FB"/>
    <w:rsid w:val="00786E1C"/>
    <w:rsid w:val="00787438"/>
    <w:rsid w:val="00793023"/>
    <w:rsid w:val="007B2861"/>
    <w:rsid w:val="007B6386"/>
    <w:rsid w:val="007C549B"/>
    <w:rsid w:val="007C57DC"/>
    <w:rsid w:val="007E2BA0"/>
    <w:rsid w:val="007E3E4D"/>
    <w:rsid w:val="007E4FB5"/>
    <w:rsid w:val="007E548F"/>
    <w:rsid w:val="007E5D23"/>
    <w:rsid w:val="007E665D"/>
    <w:rsid w:val="007E7A4C"/>
    <w:rsid w:val="007F577D"/>
    <w:rsid w:val="00802166"/>
    <w:rsid w:val="00805034"/>
    <w:rsid w:val="008061AB"/>
    <w:rsid w:val="00815A90"/>
    <w:rsid w:val="00846565"/>
    <w:rsid w:val="00853926"/>
    <w:rsid w:val="00854F3E"/>
    <w:rsid w:val="0085608E"/>
    <w:rsid w:val="00856A88"/>
    <w:rsid w:val="00871799"/>
    <w:rsid w:val="00881ABC"/>
    <w:rsid w:val="00890E89"/>
    <w:rsid w:val="00895B0B"/>
    <w:rsid w:val="008C1CDB"/>
    <w:rsid w:val="008C601A"/>
    <w:rsid w:val="008C7BBA"/>
    <w:rsid w:val="008D32FF"/>
    <w:rsid w:val="008E049E"/>
    <w:rsid w:val="008E6AB8"/>
    <w:rsid w:val="009108DE"/>
    <w:rsid w:val="00910BA5"/>
    <w:rsid w:val="00912F6A"/>
    <w:rsid w:val="00920895"/>
    <w:rsid w:val="00921952"/>
    <w:rsid w:val="00922F16"/>
    <w:rsid w:val="0093042B"/>
    <w:rsid w:val="009327A6"/>
    <w:rsid w:val="009362C7"/>
    <w:rsid w:val="00942F77"/>
    <w:rsid w:val="0094420F"/>
    <w:rsid w:val="00952F99"/>
    <w:rsid w:val="0096036C"/>
    <w:rsid w:val="00964B16"/>
    <w:rsid w:val="00970700"/>
    <w:rsid w:val="00976F86"/>
    <w:rsid w:val="00981DF3"/>
    <w:rsid w:val="009A0D7B"/>
    <w:rsid w:val="009A1926"/>
    <w:rsid w:val="009A4435"/>
    <w:rsid w:val="009A45B4"/>
    <w:rsid w:val="009A6D51"/>
    <w:rsid w:val="009B5491"/>
    <w:rsid w:val="009B6D1E"/>
    <w:rsid w:val="009B7116"/>
    <w:rsid w:val="009B7A86"/>
    <w:rsid w:val="009C4303"/>
    <w:rsid w:val="009E4ADA"/>
    <w:rsid w:val="00A0318C"/>
    <w:rsid w:val="00A07F91"/>
    <w:rsid w:val="00A121C0"/>
    <w:rsid w:val="00A1579D"/>
    <w:rsid w:val="00A1703E"/>
    <w:rsid w:val="00A177CE"/>
    <w:rsid w:val="00A22868"/>
    <w:rsid w:val="00A2550E"/>
    <w:rsid w:val="00A4101E"/>
    <w:rsid w:val="00A4620C"/>
    <w:rsid w:val="00A572D6"/>
    <w:rsid w:val="00A57372"/>
    <w:rsid w:val="00A57F82"/>
    <w:rsid w:val="00A612DC"/>
    <w:rsid w:val="00A65138"/>
    <w:rsid w:val="00A67A63"/>
    <w:rsid w:val="00A7601F"/>
    <w:rsid w:val="00A77E1B"/>
    <w:rsid w:val="00A80C58"/>
    <w:rsid w:val="00A909E7"/>
    <w:rsid w:val="00A9618F"/>
    <w:rsid w:val="00AA38D3"/>
    <w:rsid w:val="00AA65DA"/>
    <w:rsid w:val="00AB0D71"/>
    <w:rsid w:val="00AC016C"/>
    <w:rsid w:val="00AE19B3"/>
    <w:rsid w:val="00AE21F9"/>
    <w:rsid w:val="00AE5294"/>
    <w:rsid w:val="00AE5C4D"/>
    <w:rsid w:val="00B06890"/>
    <w:rsid w:val="00B16B69"/>
    <w:rsid w:val="00B26BE3"/>
    <w:rsid w:val="00B420FF"/>
    <w:rsid w:val="00B53E8D"/>
    <w:rsid w:val="00B66015"/>
    <w:rsid w:val="00B66F8A"/>
    <w:rsid w:val="00B70036"/>
    <w:rsid w:val="00B705BA"/>
    <w:rsid w:val="00B73E4B"/>
    <w:rsid w:val="00B74A56"/>
    <w:rsid w:val="00B77177"/>
    <w:rsid w:val="00B85A51"/>
    <w:rsid w:val="00B94D62"/>
    <w:rsid w:val="00B953CB"/>
    <w:rsid w:val="00BC63ED"/>
    <w:rsid w:val="00BC6443"/>
    <w:rsid w:val="00BD452B"/>
    <w:rsid w:val="00BD64C8"/>
    <w:rsid w:val="00BF1417"/>
    <w:rsid w:val="00C01F27"/>
    <w:rsid w:val="00C044C7"/>
    <w:rsid w:val="00C05345"/>
    <w:rsid w:val="00C11774"/>
    <w:rsid w:val="00C13ECE"/>
    <w:rsid w:val="00C24D53"/>
    <w:rsid w:val="00C40DEE"/>
    <w:rsid w:val="00C42D95"/>
    <w:rsid w:val="00C540AA"/>
    <w:rsid w:val="00C5624D"/>
    <w:rsid w:val="00C61580"/>
    <w:rsid w:val="00C63E66"/>
    <w:rsid w:val="00C76F76"/>
    <w:rsid w:val="00C805F7"/>
    <w:rsid w:val="00C86321"/>
    <w:rsid w:val="00C92271"/>
    <w:rsid w:val="00CA19C0"/>
    <w:rsid w:val="00CA3022"/>
    <w:rsid w:val="00CB4599"/>
    <w:rsid w:val="00CC5FC4"/>
    <w:rsid w:val="00D01969"/>
    <w:rsid w:val="00D059CA"/>
    <w:rsid w:val="00D34DBF"/>
    <w:rsid w:val="00D44C88"/>
    <w:rsid w:val="00D47A9B"/>
    <w:rsid w:val="00D50BCB"/>
    <w:rsid w:val="00D56FB2"/>
    <w:rsid w:val="00D6663B"/>
    <w:rsid w:val="00D6706C"/>
    <w:rsid w:val="00D67E78"/>
    <w:rsid w:val="00D71092"/>
    <w:rsid w:val="00D710B6"/>
    <w:rsid w:val="00D90069"/>
    <w:rsid w:val="00D9066C"/>
    <w:rsid w:val="00D950BE"/>
    <w:rsid w:val="00D97055"/>
    <w:rsid w:val="00DA46A0"/>
    <w:rsid w:val="00DB067D"/>
    <w:rsid w:val="00DB530F"/>
    <w:rsid w:val="00DB5F71"/>
    <w:rsid w:val="00DC2A2F"/>
    <w:rsid w:val="00DD0A98"/>
    <w:rsid w:val="00DD2681"/>
    <w:rsid w:val="00DD7B98"/>
    <w:rsid w:val="00DE1526"/>
    <w:rsid w:val="00DE6F34"/>
    <w:rsid w:val="00DF3A2D"/>
    <w:rsid w:val="00DF450C"/>
    <w:rsid w:val="00E0181F"/>
    <w:rsid w:val="00E07FE8"/>
    <w:rsid w:val="00E10302"/>
    <w:rsid w:val="00E31914"/>
    <w:rsid w:val="00E73515"/>
    <w:rsid w:val="00E90789"/>
    <w:rsid w:val="00E953CE"/>
    <w:rsid w:val="00E9588B"/>
    <w:rsid w:val="00EA1C22"/>
    <w:rsid w:val="00EA6B6F"/>
    <w:rsid w:val="00EB2917"/>
    <w:rsid w:val="00EB37C2"/>
    <w:rsid w:val="00EC3A27"/>
    <w:rsid w:val="00ED3F00"/>
    <w:rsid w:val="00ED7811"/>
    <w:rsid w:val="00EE786F"/>
    <w:rsid w:val="00EF63EF"/>
    <w:rsid w:val="00EF6496"/>
    <w:rsid w:val="00F019BC"/>
    <w:rsid w:val="00F02DD1"/>
    <w:rsid w:val="00F11E1F"/>
    <w:rsid w:val="00F2168A"/>
    <w:rsid w:val="00F24CAE"/>
    <w:rsid w:val="00F32286"/>
    <w:rsid w:val="00F5181D"/>
    <w:rsid w:val="00F64C7E"/>
    <w:rsid w:val="00F7371C"/>
    <w:rsid w:val="00F73CE9"/>
    <w:rsid w:val="00F74C0B"/>
    <w:rsid w:val="00F76BB4"/>
    <w:rsid w:val="00F80B26"/>
    <w:rsid w:val="00F92C8C"/>
    <w:rsid w:val="00F9336C"/>
    <w:rsid w:val="00FA6909"/>
    <w:rsid w:val="00FB267C"/>
    <w:rsid w:val="00FC37F0"/>
    <w:rsid w:val="00FC41B9"/>
    <w:rsid w:val="00FC6283"/>
    <w:rsid w:val="00FD125F"/>
    <w:rsid w:val="00FD1A75"/>
    <w:rsid w:val="00FE0228"/>
    <w:rsid w:val="00FE1541"/>
    <w:rsid w:val="00FF1415"/>
    <w:rsid w:val="00FF5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65CA"/>
  <w15:docId w15:val="{AD362E9D-1F1F-4DFA-B84E-B60D3D18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Odwoaniedokomentarza">
    <w:name w:val="annotation reference"/>
    <w:basedOn w:val="Domylnaczcionkaakapitu"/>
    <w:uiPriority w:val="99"/>
    <w:semiHidden/>
    <w:unhideWhenUsed/>
    <w:rsid w:val="00CB4599"/>
    <w:rPr>
      <w:sz w:val="16"/>
      <w:szCs w:val="16"/>
    </w:rPr>
  </w:style>
  <w:style w:type="paragraph" w:styleId="Tekstkomentarza">
    <w:name w:val="annotation text"/>
    <w:basedOn w:val="Normalny"/>
    <w:link w:val="TekstkomentarzaZnak"/>
    <w:uiPriority w:val="99"/>
    <w:unhideWhenUsed/>
    <w:rsid w:val="00CB4599"/>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CB4599"/>
    <w:rPr>
      <w:sz w:val="20"/>
      <w:szCs w:val="20"/>
    </w:rPr>
  </w:style>
  <w:style w:type="paragraph" w:styleId="Tekstprzypisukocowego">
    <w:name w:val="endnote text"/>
    <w:basedOn w:val="Normalny"/>
    <w:link w:val="TekstprzypisukocowegoZnak"/>
    <w:uiPriority w:val="99"/>
    <w:semiHidden/>
    <w:unhideWhenUsed/>
    <w:rsid w:val="00CC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C5FC4"/>
    <w:rPr>
      <w:sz w:val="20"/>
      <w:szCs w:val="20"/>
    </w:rPr>
  </w:style>
  <w:style w:type="character" w:styleId="Odwoanieprzypisukocowego">
    <w:name w:val="endnote reference"/>
    <w:basedOn w:val="Domylnaczcionkaakapitu"/>
    <w:uiPriority w:val="99"/>
    <w:semiHidden/>
    <w:unhideWhenUsed/>
    <w:rsid w:val="00CC5FC4"/>
    <w:rPr>
      <w:vertAlign w:val="superscript"/>
    </w:rPr>
  </w:style>
  <w:style w:type="paragraph" w:customStyle="1" w:styleId="PKTpunkt">
    <w:name w:val="PKT – punkt"/>
    <w:uiPriority w:val="13"/>
    <w:qFormat/>
    <w:rsid w:val="009B5491"/>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9B5491"/>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DNONIKtreodnonika">
    <w:name w:val="ODNOŚNIK – treść odnośnika"/>
    <w:uiPriority w:val="19"/>
    <w:qFormat/>
    <w:rsid w:val="00502F5D"/>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502F5D"/>
    <w:rPr>
      <w:b w:val="0"/>
      <w:i w:val="0"/>
      <w:vanish w:val="0"/>
      <w:spacing w:val="0"/>
      <w:vertAlign w:val="superscript"/>
    </w:rPr>
  </w:style>
  <w:style w:type="character" w:customStyle="1" w:styleId="markedcontent">
    <w:name w:val="markedcontent"/>
    <w:basedOn w:val="Domylnaczcionkaakapitu"/>
    <w:rsid w:val="00912F6A"/>
  </w:style>
  <w:style w:type="paragraph" w:styleId="Poprawka">
    <w:name w:val="Revision"/>
    <w:hidden/>
    <w:uiPriority w:val="99"/>
    <w:semiHidden/>
    <w:rsid w:val="003D0C8D"/>
    <w:pPr>
      <w:spacing w:after="0" w:line="240" w:lineRule="auto"/>
    </w:pPr>
  </w:style>
  <w:style w:type="paragraph" w:customStyle="1" w:styleId="Standard">
    <w:name w:val="Standard"/>
    <w:rsid w:val="002B5B53"/>
    <w:pPr>
      <w:suppressAutoHyphens/>
      <w:autoSpaceDN w:val="0"/>
      <w:spacing w:line="240" w:lineRule="auto"/>
      <w:textAlignment w:val="baseline"/>
    </w:pPr>
    <w:rPr>
      <w:rFonts w:ascii="Calibri" w:eastAsia="Calibri" w:hAnsi="Calibri" w:cs="F"/>
    </w:rPr>
  </w:style>
  <w:style w:type="numbering" w:customStyle="1" w:styleId="WWNum1">
    <w:name w:val="WWNum1"/>
    <w:basedOn w:val="Bezlisty"/>
    <w:rsid w:val="002B5B53"/>
    <w:pPr>
      <w:numPr>
        <w:numId w:val="11"/>
      </w:numPr>
    </w:pPr>
  </w:style>
  <w:style w:type="character" w:styleId="Hipercze">
    <w:name w:val="Hyperlink"/>
    <w:basedOn w:val="Domylnaczcionkaakapitu"/>
    <w:rsid w:val="00D01969"/>
    <w:rPr>
      <w:color w:val="0563C1"/>
      <w:u w:val="single"/>
    </w:rPr>
  </w:style>
  <w:style w:type="character" w:customStyle="1" w:styleId="FootnoteSymbol">
    <w:name w:val="Footnote Symbol"/>
    <w:rsid w:val="00DA46A0"/>
  </w:style>
  <w:style w:type="character" w:styleId="Nierozpoznanawzmianka">
    <w:name w:val="Unresolved Mention"/>
    <w:basedOn w:val="Domylnaczcionkaakapitu"/>
    <w:uiPriority w:val="99"/>
    <w:semiHidden/>
    <w:unhideWhenUsed/>
    <w:rsid w:val="0012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67">
      <w:bodyDiv w:val="1"/>
      <w:marLeft w:val="0"/>
      <w:marRight w:val="0"/>
      <w:marTop w:val="0"/>
      <w:marBottom w:val="0"/>
      <w:divBdr>
        <w:top w:val="none" w:sz="0" w:space="0" w:color="auto"/>
        <w:left w:val="none" w:sz="0" w:space="0" w:color="auto"/>
        <w:bottom w:val="none" w:sz="0" w:space="0" w:color="auto"/>
        <w:right w:val="none" w:sz="0" w:space="0" w:color="auto"/>
      </w:divBdr>
      <w:divsChild>
        <w:div w:id="659040181">
          <w:marLeft w:val="0"/>
          <w:marRight w:val="0"/>
          <w:marTop w:val="0"/>
          <w:marBottom w:val="0"/>
          <w:divBdr>
            <w:top w:val="none" w:sz="0" w:space="0" w:color="auto"/>
            <w:left w:val="none" w:sz="0" w:space="0" w:color="auto"/>
            <w:bottom w:val="none" w:sz="0" w:space="0" w:color="auto"/>
            <w:right w:val="none" w:sz="0" w:space="0" w:color="auto"/>
          </w:divBdr>
        </w:div>
      </w:divsChild>
    </w:div>
    <w:div w:id="112335603">
      <w:bodyDiv w:val="1"/>
      <w:marLeft w:val="0"/>
      <w:marRight w:val="0"/>
      <w:marTop w:val="0"/>
      <w:marBottom w:val="0"/>
      <w:divBdr>
        <w:top w:val="none" w:sz="0" w:space="0" w:color="auto"/>
        <w:left w:val="none" w:sz="0" w:space="0" w:color="auto"/>
        <w:bottom w:val="none" w:sz="0" w:space="0" w:color="auto"/>
        <w:right w:val="none" w:sz="0" w:space="0" w:color="auto"/>
      </w:divBdr>
      <w:divsChild>
        <w:div w:id="274411820">
          <w:marLeft w:val="0"/>
          <w:marRight w:val="0"/>
          <w:marTop w:val="0"/>
          <w:marBottom w:val="0"/>
          <w:divBdr>
            <w:top w:val="none" w:sz="0" w:space="0" w:color="auto"/>
            <w:left w:val="none" w:sz="0" w:space="0" w:color="auto"/>
            <w:bottom w:val="none" w:sz="0" w:space="0" w:color="auto"/>
            <w:right w:val="none" w:sz="0" w:space="0" w:color="auto"/>
          </w:divBdr>
        </w:div>
        <w:div w:id="194007613">
          <w:marLeft w:val="0"/>
          <w:marRight w:val="0"/>
          <w:marTop w:val="0"/>
          <w:marBottom w:val="0"/>
          <w:divBdr>
            <w:top w:val="none" w:sz="0" w:space="0" w:color="auto"/>
            <w:left w:val="none" w:sz="0" w:space="0" w:color="auto"/>
            <w:bottom w:val="none" w:sz="0" w:space="0" w:color="auto"/>
            <w:right w:val="none" w:sz="0" w:space="0" w:color="auto"/>
          </w:divBdr>
        </w:div>
      </w:divsChild>
    </w:div>
    <w:div w:id="212809048">
      <w:bodyDiv w:val="1"/>
      <w:marLeft w:val="0"/>
      <w:marRight w:val="0"/>
      <w:marTop w:val="0"/>
      <w:marBottom w:val="0"/>
      <w:divBdr>
        <w:top w:val="none" w:sz="0" w:space="0" w:color="auto"/>
        <w:left w:val="none" w:sz="0" w:space="0" w:color="auto"/>
        <w:bottom w:val="none" w:sz="0" w:space="0" w:color="auto"/>
        <w:right w:val="none" w:sz="0" w:space="0" w:color="auto"/>
      </w:divBdr>
    </w:div>
    <w:div w:id="255211223">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422144053">
      <w:bodyDiv w:val="1"/>
      <w:marLeft w:val="0"/>
      <w:marRight w:val="0"/>
      <w:marTop w:val="0"/>
      <w:marBottom w:val="0"/>
      <w:divBdr>
        <w:top w:val="none" w:sz="0" w:space="0" w:color="auto"/>
        <w:left w:val="none" w:sz="0" w:space="0" w:color="auto"/>
        <w:bottom w:val="none" w:sz="0" w:space="0" w:color="auto"/>
        <w:right w:val="none" w:sz="0" w:space="0" w:color="auto"/>
      </w:divBdr>
      <w:divsChild>
        <w:div w:id="1026565309">
          <w:marLeft w:val="0"/>
          <w:marRight w:val="0"/>
          <w:marTop w:val="0"/>
          <w:marBottom w:val="0"/>
          <w:divBdr>
            <w:top w:val="none" w:sz="0" w:space="0" w:color="auto"/>
            <w:left w:val="none" w:sz="0" w:space="0" w:color="auto"/>
            <w:bottom w:val="none" w:sz="0" w:space="0" w:color="auto"/>
            <w:right w:val="none" w:sz="0" w:space="0" w:color="auto"/>
          </w:divBdr>
        </w:div>
      </w:divsChild>
    </w:div>
    <w:div w:id="451022885">
      <w:bodyDiv w:val="1"/>
      <w:marLeft w:val="0"/>
      <w:marRight w:val="0"/>
      <w:marTop w:val="0"/>
      <w:marBottom w:val="0"/>
      <w:divBdr>
        <w:top w:val="none" w:sz="0" w:space="0" w:color="auto"/>
        <w:left w:val="none" w:sz="0" w:space="0" w:color="auto"/>
        <w:bottom w:val="none" w:sz="0" w:space="0" w:color="auto"/>
        <w:right w:val="none" w:sz="0" w:space="0" w:color="auto"/>
      </w:divBdr>
    </w:div>
    <w:div w:id="459342095">
      <w:bodyDiv w:val="1"/>
      <w:marLeft w:val="0"/>
      <w:marRight w:val="0"/>
      <w:marTop w:val="0"/>
      <w:marBottom w:val="0"/>
      <w:divBdr>
        <w:top w:val="none" w:sz="0" w:space="0" w:color="auto"/>
        <w:left w:val="none" w:sz="0" w:space="0" w:color="auto"/>
        <w:bottom w:val="none" w:sz="0" w:space="0" w:color="auto"/>
        <w:right w:val="none" w:sz="0" w:space="0" w:color="auto"/>
      </w:divBdr>
    </w:div>
    <w:div w:id="559440986">
      <w:bodyDiv w:val="1"/>
      <w:marLeft w:val="0"/>
      <w:marRight w:val="0"/>
      <w:marTop w:val="0"/>
      <w:marBottom w:val="0"/>
      <w:divBdr>
        <w:top w:val="none" w:sz="0" w:space="0" w:color="auto"/>
        <w:left w:val="none" w:sz="0" w:space="0" w:color="auto"/>
        <w:bottom w:val="none" w:sz="0" w:space="0" w:color="auto"/>
        <w:right w:val="none" w:sz="0" w:space="0" w:color="auto"/>
      </w:divBdr>
      <w:divsChild>
        <w:div w:id="112096000">
          <w:marLeft w:val="0"/>
          <w:marRight w:val="0"/>
          <w:marTop w:val="0"/>
          <w:marBottom w:val="0"/>
          <w:divBdr>
            <w:top w:val="none" w:sz="0" w:space="0" w:color="auto"/>
            <w:left w:val="none" w:sz="0" w:space="0" w:color="auto"/>
            <w:bottom w:val="none" w:sz="0" w:space="0" w:color="auto"/>
            <w:right w:val="none" w:sz="0" w:space="0" w:color="auto"/>
          </w:divBdr>
        </w:div>
      </w:divsChild>
    </w:div>
    <w:div w:id="647562002">
      <w:bodyDiv w:val="1"/>
      <w:marLeft w:val="0"/>
      <w:marRight w:val="0"/>
      <w:marTop w:val="0"/>
      <w:marBottom w:val="0"/>
      <w:divBdr>
        <w:top w:val="none" w:sz="0" w:space="0" w:color="auto"/>
        <w:left w:val="none" w:sz="0" w:space="0" w:color="auto"/>
        <w:bottom w:val="none" w:sz="0" w:space="0" w:color="auto"/>
        <w:right w:val="none" w:sz="0" w:space="0" w:color="auto"/>
      </w:divBdr>
    </w:div>
    <w:div w:id="684669402">
      <w:bodyDiv w:val="1"/>
      <w:marLeft w:val="0"/>
      <w:marRight w:val="0"/>
      <w:marTop w:val="0"/>
      <w:marBottom w:val="0"/>
      <w:divBdr>
        <w:top w:val="none" w:sz="0" w:space="0" w:color="auto"/>
        <w:left w:val="none" w:sz="0" w:space="0" w:color="auto"/>
        <w:bottom w:val="none" w:sz="0" w:space="0" w:color="auto"/>
        <w:right w:val="none" w:sz="0" w:space="0" w:color="auto"/>
      </w:divBdr>
      <w:divsChild>
        <w:div w:id="1289896500">
          <w:marLeft w:val="0"/>
          <w:marRight w:val="0"/>
          <w:marTop w:val="0"/>
          <w:marBottom w:val="0"/>
          <w:divBdr>
            <w:top w:val="none" w:sz="0" w:space="0" w:color="auto"/>
            <w:left w:val="none" w:sz="0" w:space="0" w:color="auto"/>
            <w:bottom w:val="none" w:sz="0" w:space="0" w:color="auto"/>
            <w:right w:val="none" w:sz="0" w:space="0" w:color="auto"/>
          </w:divBdr>
        </w:div>
      </w:divsChild>
    </w:div>
    <w:div w:id="693582133">
      <w:bodyDiv w:val="1"/>
      <w:marLeft w:val="0"/>
      <w:marRight w:val="0"/>
      <w:marTop w:val="0"/>
      <w:marBottom w:val="0"/>
      <w:divBdr>
        <w:top w:val="none" w:sz="0" w:space="0" w:color="auto"/>
        <w:left w:val="none" w:sz="0" w:space="0" w:color="auto"/>
        <w:bottom w:val="none" w:sz="0" w:space="0" w:color="auto"/>
        <w:right w:val="none" w:sz="0" w:space="0" w:color="auto"/>
      </w:divBdr>
    </w:div>
    <w:div w:id="731390390">
      <w:bodyDiv w:val="1"/>
      <w:marLeft w:val="0"/>
      <w:marRight w:val="0"/>
      <w:marTop w:val="0"/>
      <w:marBottom w:val="0"/>
      <w:divBdr>
        <w:top w:val="none" w:sz="0" w:space="0" w:color="auto"/>
        <w:left w:val="none" w:sz="0" w:space="0" w:color="auto"/>
        <w:bottom w:val="none" w:sz="0" w:space="0" w:color="auto"/>
        <w:right w:val="none" w:sz="0" w:space="0" w:color="auto"/>
      </w:divBdr>
    </w:div>
    <w:div w:id="843864610">
      <w:bodyDiv w:val="1"/>
      <w:marLeft w:val="0"/>
      <w:marRight w:val="0"/>
      <w:marTop w:val="0"/>
      <w:marBottom w:val="0"/>
      <w:divBdr>
        <w:top w:val="none" w:sz="0" w:space="0" w:color="auto"/>
        <w:left w:val="none" w:sz="0" w:space="0" w:color="auto"/>
        <w:bottom w:val="none" w:sz="0" w:space="0" w:color="auto"/>
        <w:right w:val="none" w:sz="0" w:space="0" w:color="auto"/>
      </w:divBdr>
      <w:divsChild>
        <w:div w:id="579290335">
          <w:marLeft w:val="0"/>
          <w:marRight w:val="0"/>
          <w:marTop w:val="0"/>
          <w:marBottom w:val="0"/>
          <w:divBdr>
            <w:top w:val="none" w:sz="0" w:space="0" w:color="auto"/>
            <w:left w:val="none" w:sz="0" w:space="0" w:color="auto"/>
            <w:bottom w:val="none" w:sz="0" w:space="0" w:color="auto"/>
            <w:right w:val="none" w:sz="0" w:space="0" w:color="auto"/>
          </w:divBdr>
        </w:div>
        <w:div w:id="1021051439">
          <w:marLeft w:val="0"/>
          <w:marRight w:val="0"/>
          <w:marTop w:val="0"/>
          <w:marBottom w:val="0"/>
          <w:divBdr>
            <w:top w:val="none" w:sz="0" w:space="0" w:color="auto"/>
            <w:left w:val="none" w:sz="0" w:space="0" w:color="auto"/>
            <w:bottom w:val="none" w:sz="0" w:space="0" w:color="auto"/>
            <w:right w:val="none" w:sz="0" w:space="0" w:color="auto"/>
          </w:divBdr>
        </w:div>
      </w:divsChild>
    </w:div>
    <w:div w:id="859661977">
      <w:bodyDiv w:val="1"/>
      <w:marLeft w:val="0"/>
      <w:marRight w:val="0"/>
      <w:marTop w:val="0"/>
      <w:marBottom w:val="0"/>
      <w:divBdr>
        <w:top w:val="none" w:sz="0" w:space="0" w:color="auto"/>
        <w:left w:val="none" w:sz="0" w:space="0" w:color="auto"/>
        <w:bottom w:val="none" w:sz="0" w:space="0" w:color="auto"/>
        <w:right w:val="none" w:sz="0" w:space="0" w:color="auto"/>
      </w:divBdr>
    </w:div>
    <w:div w:id="869951664">
      <w:bodyDiv w:val="1"/>
      <w:marLeft w:val="0"/>
      <w:marRight w:val="0"/>
      <w:marTop w:val="0"/>
      <w:marBottom w:val="0"/>
      <w:divBdr>
        <w:top w:val="none" w:sz="0" w:space="0" w:color="auto"/>
        <w:left w:val="none" w:sz="0" w:space="0" w:color="auto"/>
        <w:bottom w:val="none" w:sz="0" w:space="0" w:color="auto"/>
        <w:right w:val="none" w:sz="0" w:space="0" w:color="auto"/>
      </w:divBdr>
    </w:div>
    <w:div w:id="888493656">
      <w:bodyDiv w:val="1"/>
      <w:marLeft w:val="0"/>
      <w:marRight w:val="0"/>
      <w:marTop w:val="0"/>
      <w:marBottom w:val="0"/>
      <w:divBdr>
        <w:top w:val="none" w:sz="0" w:space="0" w:color="auto"/>
        <w:left w:val="none" w:sz="0" w:space="0" w:color="auto"/>
        <w:bottom w:val="none" w:sz="0" w:space="0" w:color="auto"/>
        <w:right w:val="none" w:sz="0" w:space="0" w:color="auto"/>
      </w:divBdr>
    </w:div>
    <w:div w:id="888495384">
      <w:bodyDiv w:val="1"/>
      <w:marLeft w:val="0"/>
      <w:marRight w:val="0"/>
      <w:marTop w:val="0"/>
      <w:marBottom w:val="0"/>
      <w:divBdr>
        <w:top w:val="none" w:sz="0" w:space="0" w:color="auto"/>
        <w:left w:val="none" w:sz="0" w:space="0" w:color="auto"/>
        <w:bottom w:val="none" w:sz="0" w:space="0" w:color="auto"/>
        <w:right w:val="none" w:sz="0" w:space="0" w:color="auto"/>
      </w:divBdr>
    </w:div>
    <w:div w:id="990403164">
      <w:bodyDiv w:val="1"/>
      <w:marLeft w:val="0"/>
      <w:marRight w:val="0"/>
      <w:marTop w:val="0"/>
      <w:marBottom w:val="0"/>
      <w:divBdr>
        <w:top w:val="none" w:sz="0" w:space="0" w:color="auto"/>
        <w:left w:val="none" w:sz="0" w:space="0" w:color="auto"/>
        <w:bottom w:val="none" w:sz="0" w:space="0" w:color="auto"/>
        <w:right w:val="none" w:sz="0" w:space="0" w:color="auto"/>
      </w:divBdr>
      <w:divsChild>
        <w:div w:id="590160872">
          <w:marLeft w:val="0"/>
          <w:marRight w:val="0"/>
          <w:marTop w:val="0"/>
          <w:marBottom w:val="0"/>
          <w:divBdr>
            <w:top w:val="none" w:sz="0" w:space="0" w:color="auto"/>
            <w:left w:val="none" w:sz="0" w:space="0" w:color="auto"/>
            <w:bottom w:val="none" w:sz="0" w:space="0" w:color="auto"/>
            <w:right w:val="none" w:sz="0" w:space="0" w:color="auto"/>
          </w:divBdr>
        </w:div>
      </w:divsChild>
    </w:div>
    <w:div w:id="1077705165">
      <w:bodyDiv w:val="1"/>
      <w:marLeft w:val="0"/>
      <w:marRight w:val="0"/>
      <w:marTop w:val="0"/>
      <w:marBottom w:val="0"/>
      <w:divBdr>
        <w:top w:val="none" w:sz="0" w:space="0" w:color="auto"/>
        <w:left w:val="none" w:sz="0" w:space="0" w:color="auto"/>
        <w:bottom w:val="none" w:sz="0" w:space="0" w:color="auto"/>
        <w:right w:val="none" w:sz="0" w:space="0" w:color="auto"/>
      </w:divBdr>
      <w:divsChild>
        <w:div w:id="1577665274">
          <w:marLeft w:val="0"/>
          <w:marRight w:val="0"/>
          <w:marTop w:val="0"/>
          <w:marBottom w:val="0"/>
          <w:divBdr>
            <w:top w:val="none" w:sz="0" w:space="0" w:color="auto"/>
            <w:left w:val="none" w:sz="0" w:space="0" w:color="auto"/>
            <w:bottom w:val="none" w:sz="0" w:space="0" w:color="auto"/>
            <w:right w:val="none" w:sz="0" w:space="0" w:color="auto"/>
          </w:divBdr>
        </w:div>
      </w:divsChild>
    </w:div>
    <w:div w:id="1120296292">
      <w:bodyDiv w:val="1"/>
      <w:marLeft w:val="0"/>
      <w:marRight w:val="0"/>
      <w:marTop w:val="0"/>
      <w:marBottom w:val="0"/>
      <w:divBdr>
        <w:top w:val="none" w:sz="0" w:space="0" w:color="auto"/>
        <w:left w:val="none" w:sz="0" w:space="0" w:color="auto"/>
        <w:bottom w:val="none" w:sz="0" w:space="0" w:color="auto"/>
        <w:right w:val="none" w:sz="0" w:space="0" w:color="auto"/>
      </w:divBdr>
    </w:div>
    <w:div w:id="1392578604">
      <w:bodyDiv w:val="1"/>
      <w:marLeft w:val="0"/>
      <w:marRight w:val="0"/>
      <w:marTop w:val="0"/>
      <w:marBottom w:val="0"/>
      <w:divBdr>
        <w:top w:val="none" w:sz="0" w:space="0" w:color="auto"/>
        <w:left w:val="none" w:sz="0" w:space="0" w:color="auto"/>
        <w:bottom w:val="none" w:sz="0" w:space="0" w:color="auto"/>
        <w:right w:val="none" w:sz="0" w:space="0" w:color="auto"/>
      </w:divBdr>
    </w:div>
    <w:div w:id="1402756795">
      <w:bodyDiv w:val="1"/>
      <w:marLeft w:val="0"/>
      <w:marRight w:val="0"/>
      <w:marTop w:val="0"/>
      <w:marBottom w:val="0"/>
      <w:divBdr>
        <w:top w:val="none" w:sz="0" w:space="0" w:color="auto"/>
        <w:left w:val="none" w:sz="0" w:space="0" w:color="auto"/>
        <w:bottom w:val="none" w:sz="0" w:space="0" w:color="auto"/>
        <w:right w:val="none" w:sz="0" w:space="0" w:color="auto"/>
      </w:divBdr>
    </w:div>
    <w:div w:id="1585718811">
      <w:bodyDiv w:val="1"/>
      <w:marLeft w:val="0"/>
      <w:marRight w:val="0"/>
      <w:marTop w:val="0"/>
      <w:marBottom w:val="0"/>
      <w:divBdr>
        <w:top w:val="none" w:sz="0" w:space="0" w:color="auto"/>
        <w:left w:val="none" w:sz="0" w:space="0" w:color="auto"/>
        <w:bottom w:val="none" w:sz="0" w:space="0" w:color="auto"/>
        <w:right w:val="none" w:sz="0" w:space="0" w:color="auto"/>
      </w:divBdr>
      <w:divsChild>
        <w:div w:id="312560792">
          <w:marLeft w:val="0"/>
          <w:marRight w:val="0"/>
          <w:marTop w:val="0"/>
          <w:marBottom w:val="0"/>
          <w:divBdr>
            <w:top w:val="none" w:sz="0" w:space="0" w:color="auto"/>
            <w:left w:val="none" w:sz="0" w:space="0" w:color="auto"/>
            <w:bottom w:val="none" w:sz="0" w:space="0" w:color="auto"/>
            <w:right w:val="none" w:sz="0" w:space="0" w:color="auto"/>
          </w:divBdr>
        </w:div>
      </w:divsChild>
    </w:div>
    <w:div w:id="1701740372">
      <w:bodyDiv w:val="1"/>
      <w:marLeft w:val="0"/>
      <w:marRight w:val="0"/>
      <w:marTop w:val="0"/>
      <w:marBottom w:val="0"/>
      <w:divBdr>
        <w:top w:val="none" w:sz="0" w:space="0" w:color="auto"/>
        <w:left w:val="none" w:sz="0" w:space="0" w:color="auto"/>
        <w:bottom w:val="none" w:sz="0" w:space="0" w:color="auto"/>
        <w:right w:val="none" w:sz="0" w:space="0" w:color="auto"/>
      </w:divBdr>
    </w:div>
    <w:div w:id="1753315820">
      <w:bodyDiv w:val="1"/>
      <w:marLeft w:val="0"/>
      <w:marRight w:val="0"/>
      <w:marTop w:val="0"/>
      <w:marBottom w:val="0"/>
      <w:divBdr>
        <w:top w:val="none" w:sz="0" w:space="0" w:color="auto"/>
        <w:left w:val="none" w:sz="0" w:space="0" w:color="auto"/>
        <w:bottom w:val="none" w:sz="0" w:space="0" w:color="auto"/>
        <w:right w:val="none" w:sz="0" w:space="0" w:color="auto"/>
      </w:divBdr>
    </w:div>
    <w:div w:id="1782526893">
      <w:bodyDiv w:val="1"/>
      <w:marLeft w:val="0"/>
      <w:marRight w:val="0"/>
      <w:marTop w:val="0"/>
      <w:marBottom w:val="0"/>
      <w:divBdr>
        <w:top w:val="none" w:sz="0" w:space="0" w:color="auto"/>
        <w:left w:val="none" w:sz="0" w:space="0" w:color="auto"/>
        <w:bottom w:val="none" w:sz="0" w:space="0" w:color="auto"/>
        <w:right w:val="none" w:sz="0" w:space="0" w:color="auto"/>
      </w:divBdr>
    </w:div>
    <w:div w:id="1818034722">
      <w:bodyDiv w:val="1"/>
      <w:marLeft w:val="0"/>
      <w:marRight w:val="0"/>
      <w:marTop w:val="0"/>
      <w:marBottom w:val="0"/>
      <w:divBdr>
        <w:top w:val="none" w:sz="0" w:space="0" w:color="auto"/>
        <w:left w:val="none" w:sz="0" w:space="0" w:color="auto"/>
        <w:bottom w:val="none" w:sz="0" w:space="0" w:color="auto"/>
        <w:right w:val="none" w:sz="0" w:space="0" w:color="auto"/>
      </w:divBdr>
    </w:div>
    <w:div w:id="1955864863">
      <w:bodyDiv w:val="1"/>
      <w:marLeft w:val="0"/>
      <w:marRight w:val="0"/>
      <w:marTop w:val="0"/>
      <w:marBottom w:val="0"/>
      <w:divBdr>
        <w:top w:val="none" w:sz="0" w:space="0" w:color="auto"/>
        <w:left w:val="none" w:sz="0" w:space="0" w:color="auto"/>
        <w:bottom w:val="none" w:sz="0" w:space="0" w:color="auto"/>
        <w:right w:val="none" w:sz="0" w:space="0" w:color="auto"/>
      </w:divBdr>
    </w:div>
    <w:div w:id="2041517113">
      <w:bodyDiv w:val="1"/>
      <w:marLeft w:val="0"/>
      <w:marRight w:val="0"/>
      <w:marTop w:val="0"/>
      <w:marBottom w:val="0"/>
      <w:divBdr>
        <w:top w:val="none" w:sz="0" w:space="0" w:color="auto"/>
        <w:left w:val="none" w:sz="0" w:space="0" w:color="auto"/>
        <w:bottom w:val="none" w:sz="0" w:space="0" w:color="auto"/>
        <w:right w:val="none" w:sz="0" w:space="0" w:color="auto"/>
      </w:divBdr>
    </w:div>
    <w:div w:id="2052070369">
      <w:bodyDiv w:val="1"/>
      <w:marLeft w:val="0"/>
      <w:marRight w:val="0"/>
      <w:marTop w:val="0"/>
      <w:marBottom w:val="0"/>
      <w:divBdr>
        <w:top w:val="none" w:sz="0" w:space="0" w:color="auto"/>
        <w:left w:val="none" w:sz="0" w:space="0" w:color="auto"/>
        <w:bottom w:val="none" w:sz="0" w:space="0" w:color="auto"/>
        <w:right w:val="none" w:sz="0" w:space="0" w:color="auto"/>
      </w:divBdr>
    </w:div>
    <w:div w:id="2054108657">
      <w:bodyDiv w:val="1"/>
      <w:marLeft w:val="0"/>
      <w:marRight w:val="0"/>
      <w:marTop w:val="0"/>
      <w:marBottom w:val="0"/>
      <w:divBdr>
        <w:top w:val="none" w:sz="0" w:space="0" w:color="auto"/>
        <w:left w:val="none" w:sz="0" w:space="0" w:color="auto"/>
        <w:bottom w:val="none" w:sz="0" w:space="0" w:color="auto"/>
        <w:right w:val="none" w:sz="0" w:space="0" w:color="auto"/>
      </w:divBdr>
      <w:divsChild>
        <w:div w:id="482938867">
          <w:marLeft w:val="0"/>
          <w:marRight w:val="0"/>
          <w:marTop w:val="0"/>
          <w:marBottom w:val="0"/>
          <w:divBdr>
            <w:top w:val="none" w:sz="0" w:space="0" w:color="auto"/>
            <w:left w:val="none" w:sz="0" w:space="0" w:color="auto"/>
            <w:bottom w:val="none" w:sz="0" w:space="0" w:color="auto"/>
            <w:right w:val="none" w:sz="0" w:space="0" w:color="auto"/>
          </w:divBdr>
        </w:div>
      </w:divsChild>
    </w:div>
    <w:div w:id="20725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dziskmazowiecki.e-mapa.net/" TargetMode="External"/><Relationship Id="rId13" Type="http://schemas.openxmlformats.org/officeDocument/2006/relationships/hyperlink" Target="https://www.prezydent.pl/aktualno&#347;&#263;i/polityka-historyczna/pomniki-historii/obiekty-wpisane-na-liste-pomnikow-historii" TargetMode="External"/><Relationship Id="rId18" Type="http://schemas.openxmlformats.org/officeDocument/2006/relationships/hyperlink" Target="https://wody.isok.gov.pl/imap_kzgw/?gpmap=gpMZP&amp;moduleId=gpMZ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p.warszawa.rdos-gov.pl/zarzadzenia" TargetMode="External"/><Relationship Id="rId17" Type="http://schemas.openxmlformats.org/officeDocument/2006/relationships/hyperlink" Target="https://ekokarty.pl/wykaz/rdos-warszawa/" TargetMode="External"/><Relationship Id="rId2" Type="http://schemas.openxmlformats.org/officeDocument/2006/relationships/numbering" Target="numbering.xml"/><Relationship Id="rId16" Type="http://schemas.openxmlformats.org/officeDocument/2006/relationships/hyperlink" Target="https://www.gov.pl/web/rdos-warszawa/obwieszczenia-i-zawiadomien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zarzadzenia-regionalnego-dyrektora-ochrony-srodowiska-w-warszawie" TargetMode="External"/><Relationship Id="rId5" Type="http://schemas.openxmlformats.org/officeDocument/2006/relationships/webSettings" Target="webSettings.xml"/><Relationship Id="rId15" Type="http://schemas.openxmlformats.org/officeDocument/2006/relationships/hyperlink" Target="http://bazaoos.gdos.gov.pl/web/guest/home" TargetMode="External"/><Relationship Id="rId10" Type="http://schemas.openxmlformats.org/officeDocument/2006/relationships/hyperlink" Target="https://crfop.gdos.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oxly.pl/" TargetMode="External"/><Relationship Id="rId14" Type="http://schemas.openxmlformats.org/officeDocument/2006/relationships/hyperlink" Target="https://nid.pl/pomniki-historii/"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207E5-00B0-4173-A9B0-56F4DD2C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9022</Words>
  <Characters>54138</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Pietrzak Ewa</dc:creator>
  <cp:lastModifiedBy>Anna Dymecka</cp:lastModifiedBy>
  <cp:revision>5</cp:revision>
  <cp:lastPrinted>2026-05-25T11:16:00Z</cp:lastPrinted>
  <dcterms:created xsi:type="dcterms:W3CDTF">2026-05-22T13:08:00Z</dcterms:created>
  <dcterms:modified xsi:type="dcterms:W3CDTF">2026-06-11T14:03:00Z</dcterms:modified>
</cp:coreProperties>
</file>